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344F68" w14:textId="77777777" w:rsidR="00525274" w:rsidRDefault="00525274"/>
    <w:tbl>
      <w:tblPr>
        <w:tblW w:w="10568" w:type="dxa"/>
        <w:tblLayout w:type="fixed"/>
        <w:tblCellMar>
          <w:top w:w="40" w:type="dxa"/>
          <w:left w:w="40" w:type="dxa"/>
          <w:bottom w:w="40" w:type="dxa"/>
          <w:right w:w="40" w:type="dxa"/>
        </w:tblCellMar>
        <w:tblLook w:val="04A0" w:firstRow="1" w:lastRow="0" w:firstColumn="1" w:lastColumn="0" w:noHBand="0" w:noVBand="1"/>
      </w:tblPr>
      <w:tblGrid>
        <w:gridCol w:w="5284"/>
        <w:gridCol w:w="2385"/>
        <w:gridCol w:w="2899"/>
      </w:tblGrid>
      <w:tr w:rsidR="00EA7DF1" w:rsidRPr="006A192A" w14:paraId="5D2C768A" w14:textId="77777777" w:rsidTr="0038598D">
        <w:trPr>
          <w:trHeight w:hRule="exact" w:val="57"/>
        </w:trPr>
        <w:tc>
          <w:tcPr>
            <w:tcW w:w="5284" w:type="dxa"/>
            <w:vMerge w:val="restart"/>
            <w:tcBorders>
              <w:top w:val="nil"/>
              <w:left w:val="nil"/>
              <w:bottom w:val="nil"/>
              <w:tl2br w:val="nil"/>
              <w:tr2bl w:val="nil"/>
            </w:tcBorders>
            <w:shd w:val="clear" w:color="auto" w:fill="auto"/>
          </w:tcPr>
          <w:p w14:paraId="19539037" w14:textId="77777777" w:rsidR="00EA7DF1" w:rsidRPr="006A192A" w:rsidRDefault="00932B2F" w:rsidP="00122DE4">
            <w:pPr>
              <w:pStyle w:val="Header"/>
            </w:pPr>
            <w:sdt>
              <w:sdtPr>
                <w:alias w:val="Click to Change logo"/>
                <w:tag w:val="Logo"/>
                <w:id w:val="13274065"/>
                <w:placeholder>
                  <w:docPart w:val="7CF2E94762994120941325840444E87B"/>
                </w:placeholder>
                <w:docPartList>
                  <w:docPartGallery w:val="Quick Parts"/>
                  <w:docPartCategory w:val="Logos"/>
                </w:docPartList>
              </w:sdtPr>
              <w:sdtEndPr/>
              <w:sdtContent>
                <w:r w:rsidR="00EA7DF1" w:rsidRPr="006A192A">
                  <w:rPr>
                    <w:noProof/>
                    <w:lang w:eastAsia="en-AU"/>
                  </w:rPr>
                  <w:drawing>
                    <wp:anchor distT="0" distB="0" distL="114300" distR="114300" simplePos="0" relativeHeight="251658264" behindDoc="0" locked="1" layoutInCell="1" allowOverlap="0" wp14:anchorId="6E4B9017" wp14:editId="63E3A2F0">
                      <wp:simplePos x="0" y="0"/>
                      <wp:positionH relativeFrom="margin">
                        <wp:posOffset>-9525</wp:posOffset>
                      </wp:positionH>
                      <wp:positionV relativeFrom="page">
                        <wp:posOffset>-28575</wp:posOffset>
                      </wp:positionV>
                      <wp:extent cx="1922780" cy="664845"/>
                      <wp:effectExtent l="0" t="0" r="127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rotWithShape="1">
                              <a:blip r:embed="rId11"/>
                              <a:srcRect l="6917"/>
                              <a:stretch/>
                            </pic:blipFill>
                            <pic:spPr bwMode="auto">
                              <a:xfrm>
                                <a:off x="0" y="0"/>
                                <a:ext cx="1922780" cy="664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Content>
            </w:sdt>
          </w:p>
          <w:p w14:paraId="35D05A1C" w14:textId="77777777" w:rsidR="00EA7DF1" w:rsidRPr="006A192A" w:rsidRDefault="00EA7DF1" w:rsidP="00122DE4">
            <w:pPr>
              <w:pStyle w:val="Header"/>
              <w:tabs>
                <w:tab w:val="clear" w:pos="4513"/>
                <w:tab w:val="clear" w:pos="9026"/>
                <w:tab w:val="left" w:pos="7133"/>
                <w:tab w:val="left" w:pos="7466"/>
                <w:tab w:val="left" w:pos="7724"/>
              </w:tabs>
              <w:ind w:left="-28"/>
              <w:jc w:val="both"/>
              <w:rPr>
                <w:noProof/>
                <w:color w:val="FFFFFF"/>
                <w:lang w:eastAsia="en-AU"/>
              </w:rPr>
            </w:pPr>
          </w:p>
          <w:p w14:paraId="151DACA1" w14:textId="77777777" w:rsidR="00EA7DF1" w:rsidRPr="006A192A" w:rsidRDefault="00EA7DF1" w:rsidP="00122DE4">
            <w:pPr>
              <w:pStyle w:val="Header"/>
              <w:tabs>
                <w:tab w:val="clear" w:pos="4513"/>
                <w:tab w:val="clear" w:pos="9026"/>
                <w:tab w:val="left" w:pos="7133"/>
                <w:tab w:val="left" w:pos="7466"/>
                <w:tab w:val="left" w:pos="7724"/>
              </w:tabs>
              <w:ind w:left="-28"/>
              <w:jc w:val="both"/>
              <w:rPr>
                <w:b/>
                <w:caps/>
                <w:noProof/>
                <w:color w:val="FFFFFF"/>
                <w:lang w:eastAsia="en-AU"/>
              </w:rPr>
            </w:pPr>
          </w:p>
          <w:p w14:paraId="2E7468C4" w14:textId="77777777" w:rsidR="00EA7DF1" w:rsidRPr="006A192A" w:rsidRDefault="00EA7DF1" w:rsidP="00122DE4">
            <w:pPr>
              <w:pStyle w:val="LTU-Header-DivisionSchoolResearchCentre"/>
              <w:rPr>
                <w:b/>
                <w:caps/>
              </w:rPr>
            </w:pPr>
          </w:p>
          <w:p w14:paraId="42E3FD98" w14:textId="77777777" w:rsidR="00EA7DF1" w:rsidRPr="006A192A" w:rsidRDefault="00EA7DF1" w:rsidP="00122DE4">
            <w:pPr>
              <w:pStyle w:val="LTU-Cover-Subhead1"/>
              <w:rPr>
                <w:b w:val="0"/>
                <w:caps/>
                <w:noProof/>
                <w:lang w:eastAsia="en-AU"/>
              </w:rPr>
            </w:pPr>
          </w:p>
        </w:tc>
        <w:tc>
          <w:tcPr>
            <w:tcW w:w="5284" w:type="dxa"/>
            <w:gridSpan w:val="2"/>
            <w:tcBorders>
              <w:top w:val="nil"/>
              <w:bottom w:val="nil"/>
              <w:right w:val="nil"/>
              <w:tl2br w:val="nil"/>
              <w:tr2bl w:val="nil"/>
            </w:tcBorders>
            <w:shd w:val="clear" w:color="auto" w:fill="auto"/>
            <w:tcMar>
              <w:right w:w="284" w:type="dxa"/>
            </w:tcMar>
          </w:tcPr>
          <w:p w14:paraId="3F849A9E" w14:textId="77777777" w:rsidR="00EA7DF1" w:rsidRPr="006A192A" w:rsidRDefault="00EA7DF1" w:rsidP="00122DE4">
            <w:pPr>
              <w:pStyle w:val="LTU-Cover-Subhead1"/>
              <w:rPr>
                <w:b w:val="0"/>
                <w:caps/>
              </w:rPr>
            </w:pPr>
          </w:p>
        </w:tc>
      </w:tr>
      <w:tr w:rsidR="00EA7DF1" w:rsidRPr="006A192A" w14:paraId="394EFA7E" w14:textId="77777777" w:rsidTr="0038598D">
        <w:trPr>
          <w:trHeight w:hRule="exact" w:val="360"/>
        </w:trPr>
        <w:tc>
          <w:tcPr>
            <w:tcW w:w="5284" w:type="dxa"/>
            <w:vMerge/>
            <w:vAlign w:val="center"/>
          </w:tcPr>
          <w:p w14:paraId="0DCC6F7E" w14:textId="77777777" w:rsidR="00EA7DF1" w:rsidRPr="006A192A" w:rsidRDefault="00EA7DF1" w:rsidP="00122DE4">
            <w:pPr>
              <w:pStyle w:val="LTU-Cover-Subhead1"/>
              <w:rPr>
                <w:noProof/>
                <w:lang w:eastAsia="en-AU"/>
              </w:rPr>
            </w:pPr>
          </w:p>
        </w:tc>
        <w:tc>
          <w:tcPr>
            <w:tcW w:w="5284" w:type="dxa"/>
            <w:gridSpan w:val="2"/>
            <w:shd w:val="clear" w:color="auto" w:fill="EE3124" w:themeFill="accent6"/>
            <w:tcMar>
              <w:right w:w="284" w:type="dxa"/>
            </w:tcMar>
            <w:vAlign w:val="center"/>
          </w:tcPr>
          <w:p w14:paraId="76DDE2B4" w14:textId="77777777" w:rsidR="00EA7DF1" w:rsidRPr="006A192A" w:rsidRDefault="00EA7DF1" w:rsidP="00122DE4">
            <w:pPr>
              <w:pStyle w:val="LTU-Cover-Subhead1"/>
              <w:rPr>
                <w:color w:val="AB2328"/>
              </w:rPr>
            </w:pPr>
          </w:p>
        </w:tc>
      </w:tr>
      <w:tr w:rsidR="00EA7DF1" w:rsidRPr="006A192A" w14:paraId="29760AF0" w14:textId="77777777" w:rsidTr="00EA7DF1">
        <w:trPr>
          <w:trHeight w:hRule="exact" w:val="715"/>
        </w:trPr>
        <w:tc>
          <w:tcPr>
            <w:tcW w:w="5284" w:type="dxa"/>
            <w:vMerge/>
            <w:vAlign w:val="bottom"/>
          </w:tcPr>
          <w:p w14:paraId="25EC8B37" w14:textId="77777777" w:rsidR="00EA7DF1" w:rsidRPr="006A192A" w:rsidRDefault="00EA7DF1" w:rsidP="00122DE4">
            <w:pPr>
              <w:pStyle w:val="LTU-Cover-Subhead1"/>
            </w:pPr>
          </w:p>
        </w:tc>
        <w:tc>
          <w:tcPr>
            <w:tcW w:w="5284" w:type="dxa"/>
            <w:gridSpan w:val="2"/>
            <w:shd w:val="clear" w:color="auto" w:fill="auto"/>
            <w:tcMar>
              <w:top w:w="85" w:type="dxa"/>
              <w:right w:w="284" w:type="dxa"/>
            </w:tcMar>
          </w:tcPr>
          <w:p w14:paraId="7EA595D8" w14:textId="77777777" w:rsidR="00EA7DF1" w:rsidRPr="006A192A" w:rsidRDefault="00EA7DF1" w:rsidP="00122DE4">
            <w:pPr>
              <w:pStyle w:val="LTU-Cover-Subhead1"/>
              <w:spacing w:line="276" w:lineRule="auto"/>
              <w:rPr>
                <w:rFonts w:cstheme="minorHAnsi"/>
                <w:szCs w:val="24"/>
              </w:rPr>
            </w:pPr>
            <w:r w:rsidRPr="006A192A">
              <w:rPr>
                <w:rStyle w:val="MediumGrid11"/>
                <w:rFonts w:cstheme="minorHAnsi"/>
                <w:szCs w:val="24"/>
              </w:rPr>
              <w:t>JUDITH LUMLEY CENTRE</w:t>
            </w:r>
            <w:r w:rsidRPr="006A192A">
              <w:rPr>
                <w:rFonts w:cstheme="minorHAnsi"/>
                <w:szCs w:val="24"/>
              </w:rPr>
              <w:t xml:space="preserve"> </w:t>
            </w:r>
          </w:p>
          <w:p w14:paraId="317269A5" w14:textId="77777777" w:rsidR="00EA7DF1" w:rsidRPr="006A192A" w:rsidRDefault="00EA7DF1" w:rsidP="00122DE4">
            <w:pPr>
              <w:pStyle w:val="LTU-Cover-Subhead2"/>
              <w:spacing w:line="276" w:lineRule="auto"/>
              <w:rPr>
                <w:rFonts w:cstheme="minorHAnsi"/>
                <w:color w:val="auto"/>
                <w:szCs w:val="24"/>
              </w:rPr>
            </w:pPr>
            <w:r w:rsidRPr="006A192A">
              <w:rPr>
                <w:rStyle w:val="MediumGrid11"/>
                <w:rFonts w:cstheme="minorHAnsi"/>
                <w:szCs w:val="24"/>
              </w:rPr>
              <w:t>for mother, infant and family health research</w:t>
            </w:r>
          </w:p>
          <w:p w14:paraId="0D4BA142" w14:textId="77777777" w:rsidR="00EA7DF1" w:rsidRPr="006A192A" w:rsidRDefault="00EA7DF1" w:rsidP="00122DE4">
            <w:pPr>
              <w:pStyle w:val="LTU-Cover-Subhead2"/>
            </w:pPr>
          </w:p>
        </w:tc>
      </w:tr>
      <w:tr w:rsidR="00EA7DF1" w:rsidRPr="006A192A" w14:paraId="5AAAD58A" w14:textId="77777777" w:rsidTr="00EA7DF1">
        <w:trPr>
          <w:trHeight w:hRule="exact" w:val="3402"/>
        </w:trPr>
        <w:tc>
          <w:tcPr>
            <w:tcW w:w="5284" w:type="dxa"/>
            <w:shd w:val="clear" w:color="auto" w:fill="auto"/>
            <w:tcMar>
              <w:top w:w="0" w:type="dxa"/>
              <w:left w:w="0" w:type="dxa"/>
              <w:bottom w:w="567" w:type="dxa"/>
              <w:right w:w="0" w:type="dxa"/>
            </w:tcMar>
            <w:vAlign w:val="bottom"/>
          </w:tcPr>
          <w:p w14:paraId="308E683D" w14:textId="77777777" w:rsidR="00EA7DF1" w:rsidRPr="006A192A" w:rsidRDefault="00EA7DF1" w:rsidP="00122DE4">
            <w:pPr>
              <w:pStyle w:val="LTU-Cover-Subhead1"/>
            </w:pPr>
          </w:p>
        </w:tc>
        <w:tc>
          <w:tcPr>
            <w:tcW w:w="5284" w:type="dxa"/>
            <w:gridSpan w:val="2"/>
            <w:shd w:val="clear" w:color="auto" w:fill="auto"/>
            <w:tcMar>
              <w:top w:w="0" w:type="dxa"/>
              <w:left w:w="0" w:type="dxa"/>
              <w:bottom w:w="567" w:type="dxa"/>
              <w:right w:w="284" w:type="dxa"/>
            </w:tcMar>
            <w:vAlign w:val="bottom"/>
          </w:tcPr>
          <w:p w14:paraId="6241B7D6" w14:textId="77777777" w:rsidR="00EA7DF1" w:rsidRPr="006A192A" w:rsidRDefault="00EA7DF1" w:rsidP="00122DE4">
            <w:pPr>
              <w:pStyle w:val="LTU-Cover-Heading1"/>
              <w:rPr>
                <w:lang w:val="en-AU"/>
              </w:rPr>
            </w:pPr>
            <w:r w:rsidRPr="006A192A">
              <w:rPr>
                <w:lang w:val="en-AU"/>
              </w:rPr>
              <w:t xml:space="preserve">Department of nursing </w:t>
            </w:r>
            <w:r w:rsidRPr="006A192A">
              <w:rPr>
                <w:lang w:val="en-AU"/>
              </w:rPr>
              <w:br/>
              <w:t>and midwifery</w:t>
            </w:r>
          </w:p>
          <w:p w14:paraId="0E36781E" w14:textId="793E6A04" w:rsidR="00EA7DF1" w:rsidRPr="006A192A" w:rsidRDefault="00EA7DF1" w:rsidP="00122DE4">
            <w:pPr>
              <w:pStyle w:val="LTU-Cover-DateVersion"/>
              <w:rPr>
                <w:color w:val="5C4A3F"/>
                <w:lang w:val="en-AU"/>
              </w:rPr>
            </w:pPr>
          </w:p>
        </w:tc>
      </w:tr>
      <w:tr w:rsidR="00EA7DF1" w:rsidRPr="006A192A" w14:paraId="5B852039" w14:textId="77777777" w:rsidTr="0038598D">
        <w:trPr>
          <w:trHeight w:hRule="exact" w:val="7653"/>
        </w:trPr>
        <w:tc>
          <w:tcPr>
            <w:tcW w:w="5284" w:type="dxa"/>
            <w:shd w:val="clear" w:color="auto" w:fill="EE3124" w:themeFill="accent6"/>
            <w:tcMar>
              <w:top w:w="340" w:type="dxa"/>
              <w:left w:w="0" w:type="dxa"/>
              <w:bottom w:w="0" w:type="dxa"/>
              <w:right w:w="0" w:type="dxa"/>
            </w:tcMar>
          </w:tcPr>
          <w:p w14:paraId="66CEE346" w14:textId="77777777" w:rsidR="00EA7DF1" w:rsidRPr="006A192A" w:rsidRDefault="00EA7DF1" w:rsidP="00122DE4">
            <w:pPr>
              <w:pStyle w:val="LTU-Cover-Subhead1"/>
            </w:pPr>
          </w:p>
        </w:tc>
        <w:tc>
          <w:tcPr>
            <w:tcW w:w="5284" w:type="dxa"/>
            <w:gridSpan w:val="2"/>
            <w:shd w:val="clear" w:color="auto" w:fill="EE3124" w:themeFill="accent6"/>
            <w:tcMar>
              <w:top w:w="340" w:type="dxa"/>
              <w:left w:w="0" w:type="dxa"/>
              <w:bottom w:w="0" w:type="dxa"/>
              <w:right w:w="284" w:type="dxa"/>
            </w:tcMar>
          </w:tcPr>
          <w:p w14:paraId="29F1F3F6" w14:textId="77777777" w:rsidR="00EA7DF1" w:rsidRPr="006A192A" w:rsidRDefault="00EA7DF1" w:rsidP="00122DE4">
            <w:pPr>
              <w:pStyle w:val="LTU-Cover-Heading2"/>
              <w:spacing w:line="276" w:lineRule="auto"/>
              <w:rPr>
                <w:rFonts w:asciiTheme="minorHAnsi" w:hAnsiTheme="minorHAnsi" w:cstheme="minorBidi"/>
                <w:sz w:val="24"/>
                <w:szCs w:val="24"/>
                <w:lang w:val="en-AU"/>
              </w:rPr>
            </w:pPr>
            <w:r w:rsidRPr="006A192A">
              <w:rPr>
                <w:rFonts w:asciiTheme="minorHAnsi" w:hAnsiTheme="minorHAnsi" w:cstheme="minorBidi"/>
                <w:sz w:val="24"/>
                <w:szCs w:val="24"/>
                <w:lang w:val="en-AU"/>
              </w:rPr>
              <w:t>Primary Prevention of Sexual Violence and Harassment Against Women and Girls: Combining Evidence and Practice Knowledge</w:t>
            </w:r>
          </w:p>
          <w:p w14:paraId="4228DDB0" w14:textId="77777777" w:rsidR="00EA7DF1" w:rsidRDefault="00EA7DF1" w:rsidP="00122DE4">
            <w:pPr>
              <w:pStyle w:val="LTU-Cover-Heading3"/>
              <w:rPr>
                <w:lang w:val="en-AU"/>
              </w:rPr>
            </w:pPr>
          </w:p>
          <w:p w14:paraId="34CD810E" w14:textId="77777777" w:rsidR="00EA7DF1" w:rsidRPr="006A192A" w:rsidRDefault="00EA7DF1" w:rsidP="00122DE4">
            <w:pPr>
              <w:pStyle w:val="LTU-Cover-Heading3"/>
              <w:rPr>
                <w:lang w:val="en-AU"/>
              </w:rPr>
            </w:pPr>
            <w:r>
              <w:rPr>
                <w:lang w:val="en-AU"/>
              </w:rPr>
              <w:t>Final</w:t>
            </w:r>
            <w:r w:rsidRPr="006A192A">
              <w:rPr>
                <w:lang w:val="en-AU"/>
              </w:rPr>
              <w:t xml:space="preserve"> </w:t>
            </w:r>
            <w:r>
              <w:rPr>
                <w:lang w:val="en-AU"/>
              </w:rPr>
              <w:t>R</w:t>
            </w:r>
            <w:r w:rsidRPr="006A192A">
              <w:rPr>
                <w:lang w:val="en-AU"/>
              </w:rPr>
              <w:t xml:space="preserve">eport </w:t>
            </w:r>
            <w:r>
              <w:rPr>
                <w:lang w:val="en-AU"/>
              </w:rPr>
              <w:t>and Theory of Change</w:t>
            </w:r>
          </w:p>
          <w:p w14:paraId="4ADCC0F0" w14:textId="77777777" w:rsidR="00EA7DF1" w:rsidRPr="006A192A" w:rsidRDefault="00EA7DF1" w:rsidP="00122DE4">
            <w:pPr>
              <w:pStyle w:val="LTU-Cover-Heading3"/>
              <w:rPr>
                <w:lang w:val="en-AU"/>
              </w:rPr>
            </w:pPr>
          </w:p>
          <w:p w14:paraId="11E2A2A3" w14:textId="77777777" w:rsidR="00EA7DF1" w:rsidRPr="006A192A" w:rsidRDefault="00EA7DF1" w:rsidP="00122DE4">
            <w:pPr>
              <w:pStyle w:val="LTU-Cover-Heading3"/>
              <w:spacing w:line="276" w:lineRule="auto"/>
              <w:rPr>
                <w:rFonts w:cstheme="minorBidi"/>
                <w:sz w:val="24"/>
                <w:szCs w:val="24"/>
                <w:lang w:val="en-AU"/>
              </w:rPr>
            </w:pPr>
            <w:r w:rsidRPr="006A192A">
              <w:rPr>
                <w:rFonts w:cstheme="minorBidi"/>
                <w:sz w:val="24"/>
                <w:szCs w:val="24"/>
                <w:lang w:val="en-AU"/>
              </w:rPr>
              <w:t>Dr Leesa Hooker</w:t>
            </w:r>
          </w:p>
          <w:p w14:paraId="3E860CD3" w14:textId="30B5893C" w:rsidR="00EA7DF1" w:rsidRPr="006A192A" w:rsidRDefault="004F026E" w:rsidP="00122DE4">
            <w:pPr>
              <w:pStyle w:val="LTU-Cover-Heading3"/>
              <w:spacing w:line="276" w:lineRule="auto"/>
              <w:rPr>
                <w:rFonts w:cstheme="minorBidi"/>
                <w:sz w:val="24"/>
                <w:szCs w:val="24"/>
                <w:lang w:val="en-AU"/>
              </w:rPr>
            </w:pPr>
            <w:r>
              <w:rPr>
                <w:rFonts w:cstheme="minorBidi"/>
                <w:sz w:val="24"/>
                <w:szCs w:val="24"/>
                <w:lang w:val="en-AU"/>
              </w:rPr>
              <w:t xml:space="preserve">Dr </w:t>
            </w:r>
            <w:r w:rsidR="00EA7DF1" w:rsidRPr="006A192A">
              <w:rPr>
                <w:rFonts w:cstheme="minorBidi"/>
                <w:sz w:val="24"/>
                <w:szCs w:val="24"/>
                <w:lang w:val="en-AU"/>
              </w:rPr>
              <w:t>Jess</w:t>
            </w:r>
            <w:r>
              <w:rPr>
                <w:rFonts w:cstheme="minorBidi"/>
                <w:sz w:val="24"/>
                <w:szCs w:val="24"/>
                <w:lang w:val="en-AU"/>
              </w:rPr>
              <w:t>ica</w:t>
            </w:r>
            <w:r w:rsidR="00EA7DF1" w:rsidRPr="006A192A">
              <w:rPr>
                <w:rFonts w:cstheme="minorBidi"/>
                <w:sz w:val="24"/>
                <w:szCs w:val="24"/>
                <w:lang w:val="en-AU"/>
              </w:rPr>
              <w:t xml:space="preserve"> Ison</w:t>
            </w:r>
          </w:p>
          <w:p w14:paraId="37A6CAAD" w14:textId="77777777" w:rsidR="00EA7DF1" w:rsidRPr="006A192A" w:rsidRDefault="00EA7DF1" w:rsidP="00122DE4">
            <w:pPr>
              <w:pStyle w:val="LTU-Cover-Heading3"/>
              <w:spacing w:line="276" w:lineRule="auto"/>
              <w:rPr>
                <w:rFonts w:cstheme="minorBidi"/>
                <w:sz w:val="24"/>
                <w:szCs w:val="24"/>
                <w:lang w:val="en-AU"/>
              </w:rPr>
            </w:pPr>
            <w:r w:rsidRPr="006A192A">
              <w:rPr>
                <w:rFonts w:cstheme="minorBidi"/>
                <w:sz w:val="24"/>
                <w:szCs w:val="24"/>
                <w:lang w:val="en-AU"/>
              </w:rPr>
              <w:t>Assoc. Professor Nicola Henry</w:t>
            </w:r>
          </w:p>
          <w:p w14:paraId="14BA2864" w14:textId="77777777" w:rsidR="00EA7DF1" w:rsidRPr="006A192A" w:rsidRDefault="00EA7DF1" w:rsidP="00122DE4">
            <w:pPr>
              <w:pStyle w:val="LTU-Cover-Heading3"/>
              <w:spacing w:line="276" w:lineRule="auto"/>
              <w:rPr>
                <w:rFonts w:cstheme="minorBidi"/>
                <w:sz w:val="24"/>
                <w:szCs w:val="24"/>
                <w:lang w:val="en-AU"/>
              </w:rPr>
            </w:pPr>
            <w:r w:rsidRPr="006A192A">
              <w:rPr>
                <w:rFonts w:cstheme="minorBidi"/>
                <w:sz w:val="24"/>
                <w:szCs w:val="24"/>
                <w:lang w:val="en-AU"/>
              </w:rPr>
              <w:t>Assoc. Professor Christopher Fisher</w:t>
            </w:r>
          </w:p>
          <w:p w14:paraId="44AC3A20" w14:textId="77777777" w:rsidR="00EA7DF1" w:rsidRPr="006A192A" w:rsidRDefault="00EA7DF1" w:rsidP="00122DE4">
            <w:pPr>
              <w:pStyle w:val="LTU-Cover-Heading3"/>
              <w:spacing w:line="276" w:lineRule="auto"/>
              <w:rPr>
                <w:rFonts w:cstheme="minorBidi"/>
                <w:sz w:val="24"/>
                <w:szCs w:val="24"/>
                <w:lang w:val="en-AU"/>
              </w:rPr>
            </w:pPr>
            <w:r w:rsidRPr="006A192A">
              <w:rPr>
                <w:rFonts w:cstheme="minorBidi"/>
                <w:sz w:val="24"/>
                <w:szCs w:val="24"/>
                <w:lang w:val="en-AU"/>
              </w:rPr>
              <w:t>Dr Kirsty Forsdike</w:t>
            </w:r>
          </w:p>
          <w:p w14:paraId="1E3EC780" w14:textId="77777777" w:rsidR="00EA7DF1" w:rsidRPr="006A192A" w:rsidRDefault="00EA7DF1" w:rsidP="00122DE4">
            <w:pPr>
              <w:pStyle w:val="LTU-Cover-Heading3"/>
              <w:spacing w:line="276" w:lineRule="auto"/>
              <w:rPr>
                <w:rFonts w:cstheme="minorBidi"/>
                <w:sz w:val="24"/>
                <w:szCs w:val="24"/>
                <w:lang w:val="en-AU"/>
              </w:rPr>
            </w:pPr>
            <w:r w:rsidRPr="006A192A">
              <w:rPr>
                <w:rFonts w:cstheme="minorBidi"/>
                <w:sz w:val="24"/>
                <w:szCs w:val="24"/>
                <w:lang w:val="en-AU"/>
              </w:rPr>
              <w:t xml:space="preserve">Felicity Young </w:t>
            </w:r>
          </w:p>
          <w:p w14:paraId="69784639" w14:textId="77777777" w:rsidR="00EA7DF1" w:rsidRPr="006A192A" w:rsidRDefault="00EA7DF1" w:rsidP="00122DE4">
            <w:pPr>
              <w:pStyle w:val="LTU-Cover-Heading3"/>
              <w:spacing w:line="276" w:lineRule="auto"/>
              <w:rPr>
                <w:rFonts w:cstheme="minorBidi"/>
                <w:sz w:val="24"/>
                <w:szCs w:val="24"/>
                <w:lang w:val="en-AU"/>
              </w:rPr>
            </w:pPr>
            <w:r w:rsidRPr="006A192A">
              <w:rPr>
                <w:rFonts w:cstheme="minorBidi"/>
                <w:sz w:val="24"/>
                <w:szCs w:val="24"/>
                <w:lang w:val="en-AU"/>
              </w:rPr>
              <w:t>Hannah Korsmeyer</w:t>
            </w:r>
          </w:p>
          <w:p w14:paraId="462AF8E9" w14:textId="77777777" w:rsidR="00EA7DF1" w:rsidRPr="006A192A" w:rsidRDefault="00EA7DF1" w:rsidP="00122DE4">
            <w:pPr>
              <w:pStyle w:val="LTU-Cover-Heading3"/>
              <w:spacing w:line="276" w:lineRule="auto"/>
              <w:rPr>
                <w:rFonts w:cstheme="minorBidi"/>
                <w:sz w:val="24"/>
                <w:szCs w:val="24"/>
                <w:lang w:val="en-AU"/>
              </w:rPr>
            </w:pPr>
            <w:r w:rsidRPr="006A192A">
              <w:rPr>
                <w:rFonts w:cstheme="minorBidi"/>
                <w:sz w:val="24"/>
                <w:szCs w:val="24"/>
                <w:lang w:val="en-AU"/>
              </w:rPr>
              <w:t>Dr Grant O’Sullivan</w:t>
            </w:r>
          </w:p>
          <w:p w14:paraId="799BD450" w14:textId="77777777" w:rsidR="00EA7DF1" w:rsidRPr="006A192A" w:rsidRDefault="00EA7DF1" w:rsidP="00122DE4">
            <w:pPr>
              <w:pStyle w:val="LTU-Cover-Heading3"/>
              <w:spacing w:line="276" w:lineRule="auto"/>
              <w:rPr>
                <w:rFonts w:cstheme="minorBidi"/>
                <w:sz w:val="24"/>
                <w:szCs w:val="24"/>
                <w:lang w:val="en-AU"/>
              </w:rPr>
            </w:pPr>
            <w:r w:rsidRPr="006A192A">
              <w:rPr>
                <w:rFonts w:cstheme="minorBidi"/>
                <w:sz w:val="24"/>
                <w:szCs w:val="24"/>
                <w:lang w:val="en-AU"/>
              </w:rPr>
              <w:t xml:space="preserve">Professor Angela Taft </w:t>
            </w:r>
          </w:p>
          <w:p w14:paraId="6A2D00D0" w14:textId="77777777" w:rsidR="00EA7DF1" w:rsidRPr="006A192A" w:rsidRDefault="00EA7DF1" w:rsidP="00122DE4">
            <w:pPr>
              <w:pStyle w:val="LTU-Cover-Heading3"/>
              <w:spacing w:line="276" w:lineRule="auto"/>
              <w:rPr>
                <w:rFonts w:cstheme="minorBidi"/>
                <w:sz w:val="24"/>
                <w:szCs w:val="24"/>
                <w:lang w:val="en-AU"/>
              </w:rPr>
            </w:pPr>
          </w:p>
        </w:tc>
      </w:tr>
      <w:tr w:rsidR="00EA7DF1" w:rsidRPr="006A192A" w14:paraId="6F0A0415" w14:textId="77777777" w:rsidTr="00EA7DF1">
        <w:trPr>
          <w:trHeight w:val="1247"/>
        </w:trPr>
        <w:tc>
          <w:tcPr>
            <w:tcW w:w="5284" w:type="dxa"/>
            <w:shd w:val="clear" w:color="auto" w:fill="EE3124" w:themeFill="accent6"/>
            <w:tcMar>
              <w:bottom w:w="284" w:type="dxa"/>
            </w:tcMar>
          </w:tcPr>
          <w:p w14:paraId="1D3223CB" w14:textId="77777777" w:rsidR="00EA7DF1" w:rsidRPr="006A192A" w:rsidRDefault="00EA7DF1" w:rsidP="00122DE4">
            <w:pPr>
              <w:pStyle w:val="LTU-Cover-Subhead1"/>
            </w:pPr>
          </w:p>
        </w:tc>
        <w:tc>
          <w:tcPr>
            <w:tcW w:w="2385" w:type="dxa"/>
            <w:shd w:val="clear" w:color="auto" w:fill="EE3124" w:themeFill="accent6"/>
            <w:tcMar>
              <w:bottom w:w="284" w:type="dxa"/>
              <w:right w:w="0" w:type="dxa"/>
            </w:tcMar>
          </w:tcPr>
          <w:p w14:paraId="2793EA9B" w14:textId="77777777" w:rsidR="00EA7DF1" w:rsidRPr="006A192A" w:rsidRDefault="00EA7DF1" w:rsidP="00122DE4">
            <w:pPr>
              <w:pStyle w:val="LTU-Cover-Contactdetails"/>
              <w:rPr>
                <w:b/>
                <w:color w:val="FFFFFF"/>
                <w:lang w:val="en-AU"/>
              </w:rPr>
            </w:pPr>
            <w:r w:rsidRPr="006A192A">
              <w:rPr>
                <w:b/>
                <w:color w:val="FFFFFF"/>
                <w:lang w:val="en-AU"/>
              </w:rPr>
              <w:t>ENQUIRIES</w:t>
            </w:r>
          </w:p>
          <w:p w14:paraId="709BF733" w14:textId="77777777" w:rsidR="00EA7DF1" w:rsidRPr="006A192A" w:rsidRDefault="00EA7DF1" w:rsidP="00122DE4">
            <w:pPr>
              <w:pStyle w:val="LTU-Cover-Contactdetails"/>
              <w:rPr>
                <w:color w:val="FFFFFF"/>
                <w:lang w:val="en-AU"/>
              </w:rPr>
            </w:pPr>
            <w:r w:rsidRPr="006A192A">
              <w:rPr>
                <w:color w:val="FFFFFF"/>
                <w:lang w:val="en-AU"/>
              </w:rPr>
              <w:t>Dr Leesa Hooker</w:t>
            </w:r>
          </w:p>
          <w:p w14:paraId="2A6756E4" w14:textId="77777777" w:rsidR="00EA7DF1" w:rsidRPr="006A192A" w:rsidRDefault="00EA7DF1" w:rsidP="00122DE4">
            <w:pPr>
              <w:pStyle w:val="LTU-Cover-Contactdetails"/>
              <w:spacing w:line="276" w:lineRule="auto"/>
              <w:rPr>
                <w:rFonts w:cstheme="minorHAnsi"/>
                <w:color w:val="FFFFFF"/>
                <w:sz w:val="20"/>
                <w:szCs w:val="20"/>
                <w:lang w:val="en-AU"/>
              </w:rPr>
            </w:pPr>
            <w:r w:rsidRPr="006A192A">
              <w:rPr>
                <w:rFonts w:cstheme="minorHAnsi"/>
                <w:color w:val="FFFFFF"/>
                <w:sz w:val="20"/>
                <w:szCs w:val="20"/>
                <w:lang w:val="en-AU"/>
              </w:rPr>
              <w:t>Senior Research Fellow</w:t>
            </w:r>
          </w:p>
          <w:p w14:paraId="597D29F1" w14:textId="77777777" w:rsidR="00EA7DF1" w:rsidRPr="006A192A" w:rsidRDefault="00EA7DF1" w:rsidP="00122DE4">
            <w:pPr>
              <w:pStyle w:val="LTU-Cover-Contactdetails"/>
              <w:rPr>
                <w:color w:val="FFFFFF"/>
                <w:lang w:val="en-AU"/>
              </w:rPr>
            </w:pPr>
            <w:r w:rsidRPr="006A192A">
              <w:rPr>
                <w:color w:val="FFFFFF"/>
                <w:lang w:val="en-AU"/>
              </w:rPr>
              <w:t>La</w:t>
            </w:r>
            <w:r w:rsidRPr="006A192A">
              <w:rPr>
                <w:rFonts w:ascii="MS Gothic" w:eastAsia="MS Gothic" w:hAnsi="MS Gothic" w:cs="MS Gothic"/>
                <w:color w:val="FFFFFF"/>
                <w:lang w:val="en-AU"/>
              </w:rPr>
              <w:t> </w:t>
            </w:r>
            <w:r w:rsidRPr="006A192A">
              <w:rPr>
                <w:color w:val="FFFFFF"/>
                <w:lang w:val="en-AU"/>
              </w:rPr>
              <w:t>Trobe University</w:t>
            </w:r>
          </w:p>
          <w:p w14:paraId="31BED679" w14:textId="268028AE" w:rsidR="00EA7DF1" w:rsidRPr="006A192A" w:rsidRDefault="00EA7DF1" w:rsidP="00122DE4">
            <w:pPr>
              <w:pStyle w:val="LTU-Cover-Contactdetails"/>
              <w:rPr>
                <w:color w:val="FFFFFF"/>
                <w:lang w:val="en-AU"/>
              </w:rPr>
            </w:pPr>
            <w:r w:rsidRPr="006A192A">
              <w:rPr>
                <w:color w:val="FFFFFF"/>
                <w:lang w:val="en-AU"/>
              </w:rPr>
              <w:t>Victoria 3086</w:t>
            </w:r>
          </w:p>
        </w:tc>
        <w:tc>
          <w:tcPr>
            <w:tcW w:w="2899" w:type="dxa"/>
            <w:shd w:val="clear" w:color="auto" w:fill="EE3124" w:themeFill="accent6"/>
            <w:tcMar>
              <w:top w:w="57" w:type="dxa"/>
              <w:left w:w="57" w:type="dxa"/>
              <w:bottom w:w="284" w:type="dxa"/>
              <w:right w:w="284" w:type="dxa"/>
            </w:tcMar>
          </w:tcPr>
          <w:p w14:paraId="0136A439" w14:textId="77777777" w:rsidR="00EA7DF1" w:rsidRPr="006A192A" w:rsidRDefault="00EA7DF1" w:rsidP="00122DE4">
            <w:pPr>
              <w:pStyle w:val="LTU-Cover-Contactdetails"/>
              <w:rPr>
                <w:lang w:val="en-AU"/>
              </w:rPr>
            </w:pPr>
          </w:p>
          <w:p w14:paraId="2846BE07" w14:textId="77777777" w:rsidR="00EA7DF1" w:rsidRPr="006A192A" w:rsidRDefault="00EA7DF1" w:rsidP="00122DE4">
            <w:pPr>
              <w:pStyle w:val="LTU-Cover-Contactdetails"/>
              <w:rPr>
                <w:color w:val="FFFFFF" w:themeColor="background1"/>
                <w:lang w:val="en-AU"/>
              </w:rPr>
            </w:pPr>
            <w:r w:rsidRPr="006A192A">
              <w:rPr>
                <w:b/>
                <w:bCs/>
                <w:caps/>
                <w:color w:val="FFFFFF" w:themeColor="background1"/>
                <w:lang w:val="en-AU"/>
              </w:rPr>
              <w:t>T</w:t>
            </w:r>
            <w:r w:rsidRPr="006A192A">
              <w:rPr>
                <w:color w:val="FFFFFF" w:themeColor="background1"/>
                <w:lang w:val="en-AU"/>
              </w:rPr>
              <w:tab/>
            </w:r>
            <w:r w:rsidRPr="006A192A">
              <w:rPr>
                <w:rStyle w:val="MediumGrid11"/>
                <w:rFonts w:cstheme="minorHAnsi"/>
                <w:color w:val="FFFFFF"/>
                <w:sz w:val="20"/>
                <w:szCs w:val="20"/>
                <w:lang w:val="en-AU"/>
              </w:rPr>
              <w:t>+ 61 3 5444 7984</w:t>
            </w:r>
          </w:p>
          <w:p w14:paraId="3CF4E989" w14:textId="77777777" w:rsidR="00EA7DF1" w:rsidRPr="006A192A" w:rsidRDefault="00EA7DF1" w:rsidP="00122DE4">
            <w:pPr>
              <w:pStyle w:val="LTU-Cover-Contactdetails"/>
              <w:rPr>
                <w:color w:val="FFFFFF"/>
                <w:lang w:val="en-AU"/>
              </w:rPr>
            </w:pPr>
            <w:r w:rsidRPr="006A192A">
              <w:rPr>
                <w:b/>
                <w:bCs/>
                <w:caps/>
                <w:color w:val="FFFFFF"/>
                <w:lang w:val="en-AU"/>
              </w:rPr>
              <w:t>E</w:t>
            </w:r>
            <w:r w:rsidRPr="006A192A">
              <w:rPr>
                <w:color w:val="FFFFFF"/>
                <w:lang w:val="en-AU"/>
              </w:rPr>
              <w:tab/>
            </w:r>
            <w:r w:rsidRPr="006A192A">
              <w:rPr>
                <w:rFonts w:cstheme="minorHAnsi"/>
                <w:color w:val="FFFFFF"/>
                <w:sz w:val="20"/>
                <w:szCs w:val="20"/>
                <w:lang w:val="en-AU"/>
              </w:rPr>
              <w:t>l.hooker@latrobe.edu.au</w:t>
            </w:r>
          </w:p>
          <w:p w14:paraId="1AB00DB1" w14:textId="77777777" w:rsidR="00EA7DF1" w:rsidRPr="006A192A" w:rsidRDefault="00EA7DF1" w:rsidP="00122DE4">
            <w:pPr>
              <w:pStyle w:val="LTU-Cover-Contactdetails"/>
              <w:rPr>
                <w:b/>
                <w:color w:val="FFFFFF"/>
                <w:lang w:val="en-AU"/>
              </w:rPr>
            </w:pPr>
            <w:r w:rsidRPr="006A192A">
              <w:rPr>
                <w:b/>
                <w:color w:val="FFFFFF"/>
                <w:lang w:val="en-AU"/>
              </w:rPr>
              <w:t>latrobe.edu.au</w:t>
            </w:r>
          </w:p>
        </w:tc>
      </w:tr>
      <w:tr w:rsidR="004C76F3" w:rsidRPr="006A192A" w14:paraId="1F24FB62" w14:textId="77777777" w:rsidTr="00EA7DF1">
        <w:trPr>
          <w:trHeight w:hRule="exact" w:val="715"/>
        </w:trPr>
        <w:tc>
          <w:tcPr>
            <w:tcW w:w="5284" w:type="dxa"/>
            <w:vAlign w:val="bottom"/>
          </w:tcPr>
          <w:p w14:paraId="46A148E0" w14:textId="77777777" w:rsidR="004C76F3" w:rsidRPr="006A192A" w:rsidRDefault="004C76F3" w:rsidP="00FB7BF0">
            <w:pPr>
              <w:pStyle w:val="LTU-Cover-Subhead1"/>
            </w:pPr>
          </w:p>
        </w:tc>
        <w:tc>
          <w:tcPr>
            <w:tcW w:w="5284" w:type="dxa"/>
            <w:gridSpan w:val="2"/>
            <w:shd w:val="clear" w:color="auto" w:fill="auto"/>
            <w:tcMar>
              <w:top w:w="85" w:type="dxa"/>
              <w:right w:w="284" w:type="dxa"/>
            </w:tcMar>
          </w:tcPr>
          <w:p w14:paraId="4DBBC61C" w14:textId="77777777" w:rsidR="00114CB5" w:rsidRDefault="00114CB5"/>
        </w:tc>
      </w:tr>
    </w:tbl>
    <w:p w14:paraId="4F5AC89E" w14:textId="11207BD3" w:rsidR="004C76F3" w:rsidRPr="006A192A" w:rsidRDefault="004C76F3" w:rsidP="00FE279E"/>
    <w:p w14:paraId="7205E9CB" w14:textId="77777777" w:rsidR="00A47E8B" w:rsidRPr="006A192A" w:rsidRDefault="00A47E8B" w:rsidP="00FE279E">
      <w:pPr>
        <w:sectPr w:rsidR="00A47E8B" w:rsidRPr="006A192A" w:rsidSect="00A47E8B">
          <w:headerReference w:type="even" r:id="rId12"/>
          <w:footerReference w:type="even" r:id="rId13"/>
          <w:type w:val="continuous"/>
          <w:pgSz w:w="11906" w:h="16838" w:code="9"/>
          <w:pgMar w:top="601" w:right="709" w:bottom="284" w:left="709" w:header="284" w:footer="599" w:gutter="0"/>
          <w:cols w:space="708"/>
          <w:docGrid w:linePitch="360"/>
        </w:sectPr>
      </w:pPr>
    </w:p>
    <w:p w14:paraId="290D8177" w14:textId="77777777" w:rsidR="00A045A8" w:rsidRDefault="00A045A8" w:rsidP="009264A5">
      <w:pPr>
        <w:pStyle w:val="LTU-Subhead1"/>
        <w:rPr>
          <w:lang w:val="en-AU"/>
        </w:rPr>
      </w:pPr>
      <w:bookmarkStart w:id="0" w:name="_Toc57136596"/>
      <w:bookmarkStart w:id="1" w:name="_Toc57220384"/>
      <w:bookmarkStart w:id="2" w:name="_Toc57221164"/>
      <w:bookmarkStart w:id="3" w:name="_Toc57221887"/>
      <w:bookmarkStart w:id="4" w:name="_Toc57222445"/>
      <w:bookmarkStart w:id="5" w:name="_Toc63440271"/>
      <w:bookmarkStart w:id="6" w:name="_Toc334782004"/>
    </w:p>
    <w:p w14:paraId="72BC903B" w14:textId="77777777" w:rsidR="00F50B2D" w:rsidRDefault="00F50B2D" w:rsidP="009264A5">
      <w:pPr>
        <w:pStyle w:val="LTU-Subhead1"/>
        <w:rPr>
          <w:lang w:val="en-AU"/>
        </w:rPr>
        <w:sectPr w:rsidR="00F50B2D" w:rsidSect="00832EDE">
          <w:headerReference w:type="default" r:id="rId14"/>
          <w:footerReference w:type="default" r:id="rId15"/>
          <w:type w:val="continuous"/>
          <w:pgSz w:w="11906" w:h="16838" w:code="9"/>
          <w:pgMar w:top="2240" w:right="709" w:bottom="1276" w:left="1418" w:header="709" w:footer="624" w:gutter="0"/>
          <w:cols w:space="708"/>
          <w:docGrid w:linePitch="360"/>
        </w:sectPr>
      </w:pPr>
    </w:p>
    <w:p w14:paraId="67E6F287" w14:textId="463B7A32" w:rsidR="009264A5" w:rsidRPr="006A192A" w:rsidRDefault="009264A5" w:rsidP="00292F96">
      <w:pPr>
        <w:pStyle w:val="LTU-Subhead1"/>
        <w:rPr>
          <w:rFonts w:cstheme="minorBidi"/>
          <w:lang w:val="en-AU"/>
        </w:rPr>
      </w:pPr>
      <w:r w:rsidRPr="006A192A">
        <w:rPr>
          <w:lang w:val="en-AU"/>
        </w:rPr>
        <w:t xml:space="preserve">Acknowledgement of </w:t>
      </w:r>
      <w:r w:rsidRPr="00292F96">
        <w:t>country</w:t>
      </w:r>
      <w:bookmarkEnd w:id="0"/>
      <w:bookmarkEnd w:id="1"/>
      <w:bookmarkEnd w:id="2"/>
      <w:bookmarkEnd w:id="3"/>
      <w:bookmarkEnd w:id="4"/>
      <w:bookmarkEnd w:id="5"/>
      <w:r w:rsidRPr="006A192A">
        <w:rPr>
          <w:lang w:val="en-AU"/>
        </w:rPr>
        <w:t xml:space="preserve"> </w:t>
      </w:r>
    </w:p>
    <w:p w14:paraId="21F30088" w14:textId="5079273C" w:rsidR="009264A5" w:rsidRPr="006A192A" w:rsidRDefault="009264A5" w:rsidP="007714C4">
      <w:pPr>
        <w:pStyle w:val="LTU-Body10pt"/>
      </w:pPr>
      <w:r w:rsidRPr="006A192A">
        <w:t>The researchers would like to acknowledge the Traditional Owners of the lands across Australia on which we live and work. We pay respect to Elders past</w:t>
      </w:r>
      <w:r w:rsidR="0093373F">
        <w:t xml:space="preserve"> and</w:t>
      </w:r>
      <w:r w:rsidRPr="006A192A">
        <w:t xml:space="preserve"> present. </w:t>
      </w:r>
    </w:p>
    <w:p w14:paraId="026832EF" w14:textId="77777777" w:rsidR="009264A5" w:rsidRPr="006A192A" w:rsidRDefault="009264A5" w:rsidP="00292F96">
      <w:pPr>
        <w:pStyle w:val="LTU-Subhead1"/>
        <w:rPr>
          <w:lang w:val="en-AU"/>
        </w:rPr>
      </w:pPr>
      <w:bookmarkStart w:id="7" w:name="_Toc57136597"/>
      <w:bookmarkStart w:id="8" w:name="_Toc57220385"/>
      <w:bookmarkStart w:id="9" w:name="_Toc57221165"/>
      <w:bookmarkStart w:id="10" w:name="_Toc57221888"/>
      <w:bookmarkStart w:id="11" w:name="_Toc57222446"/>
      <w:bookmarkStart w:id="12" w:name="_Toc63440272"/>
      <w:r w:rsidRPr="006A192A">
        <w:rPr>
          <w:lang w:val="en-AU"/>
        </w:rPr>
        <w:t xml:space="preserve">Funding </w:t>
      </w:r>
      <w:r w:rsidRPr="00292F96">
        <w:t>acknowledgement</w:t>
      </w:r>
      <w:bookmarkEnd w:id="7"/>
      <w:bookmarkEnd w:id="8"/>
      <w:bookmarkEnd w:id="9"/>
      <w:bookmarkEnd w:id="10"/>
      <w:bookmarkEnd w:id="11"/>
      <w:bookmarkEnd w:id="12"/>
      <w:r w:rsidRPr="006A192A">
        <w:rPr>
          <w:lang w:val="en-AU"/>
        </w:rPr>
        <w:t xml:space="preserve"> </w:t>
      </w:r>
    </w:p>
    <w:p w14:paraId="47CA7DAE" w14:textId="7C725F03" w:rsidR="002E52AE" w:rsidRDefault="009264A5" w:rsidP="002E52AE">
      <w:pPr>
        <w:pStyle w:val="LTU-Body10pt"/>
        <w:rPr>
          <w:bCs/>
        </w:rPr>
      </w:pPr>
      <w:r w:rsidRPr="006A192A">
        <w:rPr>
          <w:bCs/>
        </w:rPr>
        <w:t>This material was produced with funding from the Australian Government Department of Social Services</w:t>
      </w:r>
      <w:r w:rsidR="007D538D">
        <w:rPr>
          <w:bCs/>
        </w:rPr>
        <w:t xml:space="preserve"> </w:t>
      </w:r>
      <w:bookmarkStart w:id="13" w:name="_Hlk81471557"/>
      <w:r w:rsidR="007D538D">
        <w:rPr>
          <w:bCs/>
        </w:rPr>
        <w:t>in 2020-21</w:t>
      </w:r>
      <w:bookmarkEnd w:id="13"/>
      <w:r w:rsidRPr="006A192A">
        <w:rPr>
          <w:bCs/>
        </w:rPr>
        <w:t xml:space="preserve">. </w:t>
      </w:r>
      <w:r w:rsidRPr="006A192A">
        <w:t xml:space="preserve">The researchers would like to express gratitude for the funding and the ongoing commitment to sexual violence primary prevention. </w:t>
      </w:r>
      <w:r w:rsidRPr="006A192A">
        <w:rPr>
          <w:bCs/>
        </w:rPr>
        <w:t>The findings and views reported in this paper are those of the authors and cannot be attributed to the Australian Government Department of Social Services.</w:t>
      </w:r>
    </w:p>
    <w:p w14:paraId="4801FE5D" w14:textId="4679C013" w:rsidR="002E52AE" w:rsidRPr="002E52AE" w:rsidRDefault="007D538D" w:rsidP="002E52AE">
      <w:pPr>
        <w:pStyle w:val="LTU-Body10pt"/>
        <w:rPr>
          <w:bCs/>
        </w:rPr>
      </w:pPr>
      <w:r w:rsidRPr="002E52AE">
        <w:rPr>
          <w:rFonts w:ascii="Roboto" w:hAnsi="Roboto"/>
        </w:rPr>
        <w:t>S</w:t>
      </w:r>
      <w:r w:rsidR="004F026E" w:rsidRPr="002E52AE">
        <w:rPr>
          <w:rFonts w:ascii="Roboto" w:hAnsi="Roboto"/>
        </w:rPr>
        <w:t xml:space="preserve">uggested citation: </w:t>
      </w:r>
      <w:r w:rsidR="002E52AE" w:rsidRPr="002E52AE">
        <w:rPr>
          <w:rFonts w:ascii="Roboto" w:hAnsi="Roboto"/>
          <w:noProof/>
        </w:rPr>
        <w:t xml:space="preserve">Hooker, L., Ison, J., Henry, N., Fisher, C., Forsdike, K., Young, F., Korsmeyer, H., O’Sullivan, G., &amp; Taft, A. (2021). </w:t>
      </w:r>
      <w:r w:rsidR="002E52AE" w:rsidRPr="002E52AE">
        <w:rPr>
          <w:rFonts w:ascii="Roboto" w:hAnsi="Roboto"/>
          <w:i/>
          <w:iCs/>
          <w:noProof/>
        </w:rPr>
        <w:t>Primary Prevention of Sexual Violence and Harassment Against Women and Girls: Combining Evidence and Practice Knowledge - Final Report and Theory of Change</w:t>
      </w:r>
      <w:r w:rsidR="002E52AE" w:rsidRPr="002E52AE">
        <w:rPr>
          <w:rFonts w:ascii="Roboto" w:hAnsi="Roboto"/>
          <w:noProof/>
        </w:rPr>
        <w:t>. La Trobe University.</w:t>
      </w:r>
    </w:p>
    <w:p w14:paraId="4BE1AA7A" w14:textId="1FFC5FE4" w:rsidR="009264A5" w:rsidRPr="006A192A" w:rsidRDefault="009264A5">
      <w:pPr>
        <w:spacing w:after="0" w:line="240" w:lineRule="auto"/>
        <w:rPr>
          <w:rFonts w:asciiTheme="majorHAnsi" w:eastAsia="MS Mincho" w:hAnsiTheme="majorHAnsi" w:cs="Arial" w:hint="eastAsia"/>
          <w:color w:val="565652"/>
          <w:spacing w:val="5"/>
          <w:sz w:val="48"/>
          <w:szCs w:val="56"/>
          <w:lang w:bidi="en-US"/>
        </w:rPr>
      </w:pPr>
      <w:r w:rsidRPr="006A192A">
        <w:br w:type="page"/>
      </w:r>
    </w:p>
    <w:bookmarkEnd w:id="6" w:displacedByCustomXml="next"/>
    <w:bookmarkStart w:id="14" w:name="_Toc57136600" w:displacedByCustomXml="next"/>
    <w:bookmarkStart w:id="15" w:name="_Toc57220388" w:displacedByCustomXml="next"/>
    <w:bookmarkStart w:id="16" w:name="_Toc57221168" w:displacedByCustomXml="next"/>
    <w:bookmarkStart w:id="17" w:name="_Toc57221891" w:displacedByCustomXml="next"/>
    <w:bookmarkStart w:id="18" w:name="_Toc57222449" w:displacedByCustomXml="next"/>
    <w:sdt>
      <w:sdtPr>
        <w:rPr>
          <w:rFonts w:cs="Times New Roman"/>
          <w:b w:val="0"/>
          <w:bCs/>
          <w:caps w:val="0"/>
          <w:sz w:val="18"/>
          <w:szCs w:val="18"/>
          <w:lang w:val="en-AU"/>
        </w:rPr>
        <w:id w:val="-985409"/>
        <w:docPartObj>
          <w:docPartGallery w:val="Table of Contents"/>
          <w:docPartUnique/>
        </w:docPartObj>
      </w:sdtPr>
      <w:sdtEndPr>
        <w:rPr>
          <w:bCs w:val="0"/>
          <w:noProof/>
        </w:rPr>
      </w:sdtEndPr>
      <w:sdtContent>
        <w:p w14:paraId="2FED63D9" w14:textId="6882E0D7" w:rsidR="006A3E43" w:rsidRDefault="006A3E43" w:rsidP="0038598D">
          <w:pPr>
            <w:pStyle w:val="LTU-Subhead1"/>
          </w:pPr>
          <w:r>
            <w:t>Contents</w:t>
          </w:r>
        </w:p>
        <w:p w14:paraId="579FF750" w14:textId="44929F54" w:rsidR="00AA1EFE" w:rsidRPr="00557D32" w:rsidRDefault="006A3E43" w:rsidP="00B342D0">
          <w:pPr>
            <w:pStyle w:val="TOC1"/>
            <w:rPr>
              <w:rFonts w:asciiTheme="minorHAnsi" w:eastAsiaTheme="minorEastAsia" w:hAnsiTheme="minorHAnsi" w:cstheme="minorBidi"/>
              <w:sz w:val="24"/>
              <w:szCs w:val="24"/>
              <w:lang w:val="en-GB" w:eastAsia="en-GB" w:bidi="ar-SA"/>
            </w:rPr>
          </w:pPr>
          <w:r w:rsidRPr="00324D17">
            <w:rPr>
              <w:rFonts w:asciiTheme="minorHAnsi" w:hAnsiTheme="minorHAnsi"/>
              <w:sz w:val="24"/>
              <w:szCs w:val="24"/>
            </w:rPr>
            <w:fldChar w:fldCharType="begin"/>
          </w:r>
          <w:r w:rsidRPr="00AA1EFE">
            <w:rPr>
              <w:rFonts w:asciiTheme="minorHAnsi" w:hAnsiTheme="minorHAnsi"/>
              <w:sz w:val="24"/>
              <w:szCs w:val="24"/>
            </w:rPr>
            <w:instrText xml:space="preserve"> TOC \o "1-3" \h \z \u </w:instrText>
          </w:r>
          <w:r w:rsidRPr="00324D17">
            <w:rPr>
              <w:rFonts w:asciiTheme="minorHAnsi" w:hAnsiTheme="minorHAnsi"/>
              <w:sz w:val="24"/>
              <w:szCs w:val="24"/>
            </w:rPr>
            <w:fldChar w:fldCharType="separate"/>
          </w:r>
          <w:hyperlink w:anchor="_Toc67035829" w:history="1">
            <w:r w:rsidR="00AA1EFE" w:rsidRPr="00A17275">
              <w:rPr>
                <w:rStyle w:val="Hyperlink"/>
                <w:color w:val="000000" w:themeColor="text1"/>
              </w:rPr>
              <w:t>Project Team Members</w:t>
            </w:r>
            <w:r w:rsidR="00AA1EFE" w:rsidRPr="00557D32">
              <w:rPr>
                <w:webHidden/>
              </w:rPr>
              <w:tab/>
            </w:r>
            <w:r w:rsidR="00AA1EFE" w:rsidRPr="00557D32">
              <w:rPr>
                <w:webHidden/>
              </w:rPr>
              <w:fldChar w:fldCharType="begin"/>
            </w:r>
            <w:r w:rsidR="00AA1EFE" w:rsidRPr="00557D32">
              <w:rPr>
                <w:webHidden/>
              </w:rPr>
              <w:instrText xml:space="preserve"> PAGEREF _Toc67035829 \h </w:instrText>
            </w:r>
            <w:r w:rsidR="00AA1EFE" w:rsidRPr="00557D32">
              <w:rPr>
                <w:webHidden/>
              </w:rPr>
            </w:r>
            <w:r w:rsidR="00AA1EFE" w:rsidRPr="00557D32">
              <w:rPr>
                <w:webHidden/>
              </w:rPr>
              <w:fldChar w:fldCharType="separate"/>
            </w:r>
            <w:r w:rsidR="00D52136">
              <w:rPr>
                <w:webHidden/>
              </w:rPr>
              <w:t>5</w:t>
            </w:r>
            <w:r w:rsidR="00AA1EFE" w:rsidRPr="00557D32">
              <w:rPr>
                <w:webHidden/>
              </w:rPr>
              <w:fldChar w:fldCharType="end"/>
            </w:r>
          </w:hyperlink>
        </w:p>
        <w:p w14:paraId="2EDF8D1C" w14:textId="015D572C" w:rsidR="00AA1EFE" w:rsidRPr="00557D32" w:rsidRDefault="00932B2F" w:rsidP="00B342D0">
          <w:pPr>
            <w:pStyle w:val="TOC2"/>
            <w:rPr>
              <w:rFonts w:eastAsiaTheme="minorEastAsia" w:cstheme="minorBidi"/>
              <w:sz w:val="24"/>
              <w:szCs w:val="24"/>
              <w:lang w:val="en-GB" w:eastAsia="en-GB"/>
            </w:rPr>
          </w:pPr>
          <w:hyperlink w:anchor="_Toc67035830" w:history="1">
            <w:r w:rsidR="00AA1EFE" w:rsidRPr="00557D32">
              <w:rPr>
                <w:rStyle w:val="Hyperlink"/>
                <w:color w:val="000000" w:themeColor="text1"/>
              </w:rPr>
              <w:t>Research Team</w:t>
            </w:r>
            <w:r w:rsidR="00AA1EFE" w:rsidRPr="00557D32">
              <w:rPr>
                <w:webHidden/>
              </w:rPr>
              <w:tab/>
            </w:r>
            <w:r w:rsidR="00AA1EFE" w:rsidRPr="00557D32">
              <w:rPr>
                <w:webHidden/>
              </w:rPr>
              <w:fldChar w:fldCharType="begin"/>
            </w:r>
            <w:r w:rsidR="00AA1EFE" w:rsidRPr="00557D32">
              <w:rPr>
                <w:webHidden/>
              </w:rPr>
              <w:instrText xml:space="preserve"> PAGEREF _Toc67035830 \h </w:instrText>
            </w:r>
            <w:r w:rsidR="00AA1EFE" w:rsidRPr="00557D32">
              <w:rPr>
                <w:webHidden/>
              </w:rPr>
            </w:r>
            <w:r w:rsidR="00AA1EFE" w:rsidRPr="00557D32">
              <w:rPr>
                <w:webHidden/>
              </w:rPr>
              <w:fldChar w:fldCharType="separate"/>
            </w:r>
            <w:r w:rsidR="00D52136">
              <w:rPr>
                <w:webHidden/>
              </w:rPr>
              <w:t>5</w:t>
            </w:r>
            <w:r w:rsidR="00AA1EFE" w:rsidRPr="00557D32">
              <w:rPr>
                <w:webHidden/>
              </w:rPr>
              <w:fldChar w:fldCharType="end"/>
            </w:r>
          </w:hyperlink>
        </w:p>
        <w:p w14:paraId="513524DE" w14:textId="1026B2FC" w:rsidR="00AA1EFE" w:rsidRPr="00557D32" w:rsidRDefault="009650EF" w:rsidP="00B342D0">
          <w:pPr>
            <w:pStyle w:val="TOC2"/>
            <w:rPr>
              <w:rFonts w:eastAsiaTheme="minorEastAsia" w:cstheme="minorBidi"/>
              <w:sz w:val="24"/>
              <w:szCs w:val="24"/>
              <w:lang w:val="en-GB" w:eastAsia="en-GB"/>
            </w:rPr>
          </w:pPr>
          <w:hyperlink w:anchor="_Toc67035831" w:history="1">
            <w:r w:rsidR="00AA1EFE" w:rsidRPr="00557D32">
              <w:rPr>
                <w:rStyle w:val="Hyperlink"/>
                <w:color w:val="000000" w:themeColor="text1"/>
              </w:rPr>
              <w:t>Advisory Group</w:t>
            </w:r>
            <w:r w:rsidR="00AA1EFE" w:rsidRPr="00557D32">
              <w:rPr>
                <w:webHidden/>
              </w:rPr>
              <w:tab/>
            </w:r>
            <w:r w:rsidR="00AA1EFE" w:rsidRPr="00557D32">
              <w:rPr>
                <w:webHidden/>
              </w:rPr>
              <w:fldChar w:fldCharType="begin"/>
            </w:r>
            <w:r w:rsidR="00AA1EFE" w:rsidRPr="00557D32">
              <w:rPr>
                <w:webHidden/>
              </w:rPr>
              <w:instrText xml:space="preserve"> PAGEREF _Toc67035831 \h </w:instrText>
            </w:r>
            <w:r w:rsidR="00AA1EFE" w:rsidRPr="00557D32">
              <w:rPr>
                <w:webHidden/>
              </w:rPr>
            </w:r>
            <w:r w:rsidR="00AA1EFE" w:rsidRPr="00557D32">
              <w:rPr>
                <w:webHidden/>
              </w:rPr>
              <w:fldChar w:fldCharType="separate"/>
            </w:r>
            <w:r w:rsidR="00D52136">
              <w:rPr>
                <w:webHidden/>
              </w:rPr>
              <w:t>5</w:t>
            </w:r>
            <w:r w:rsidR="00AA1EFE" w:rsidRPr="00557D32">
              <w:rPr>
                <w:webHidden/>
              </w:rPr>
              <w:fldChar w:fldCharType="end"/>
            </w:r>
          </w:hyperlink>
        </w:p>
        <w:p w14:paraId="7ED42D3D" w14:textId="4A8E87F4" w:rsidR="00AA1EFE" w:rsidRPr="00557D32" w:rsidRDefault="00932B2F" w:rsidP="00B342D0">
          <w:pPr>
            <w:pStyle w:val="TOC1"/>
            <w:rPr>
              <w:rFonts w:asciiTheme="minorHAnsi" w:eastAsiaTheme="minorEastAsia" w:hAnsiTheme="minorHAnsi" w:cstheme="minorBidi"/>
              <w:sz w:val="24"/>
              <w:szCs w:val="24"/>
              <w:lang w:val="en-GB" w:eastAsia="en-GB" w:bidi="ar-SA"/>
            </w:rPr>
          </w:pPr>
          <w:hyperlink w:anchor="_Toc67035832" w:history="1">
            <w:r w:rsidR="00AA1EFE" w:rsidRPr="00A17275">
              <w:rPr>
                <w:rStyle w:val="Hyperlink"/>
                <w:color w:val="000000" w:themeColor="text1"/>
              </w:rPr>
              <w:t>List of Acronyms</w:t>
            </w:r>
            <w:r w:rsidR="00AA1EFE" w:rsidRPr="00557D32">
              <w:rPr>
                <w:webHidden/>
              </w:rPr>
              <w:tab/>
            </w:r>
            <w:r w:rsidR="00AA1EFE" w:rsidRPr="00557D32">
              <w:rPr>
                <w:webHidden/>
              </w:rPr>
              <w:fldChar w:fldCharType="begin"/>
            </w:r>
            <w:r w:rsidR="00AA1EFE" w:rsidRPr="00557D32">
              <w:rPr>
                <w:webHidden/>
              </w:rPr>
              <w:instrText xml:space="preserve"> PAGEREF _Toc67035832 \h </w:instrText>
            </w:r>
            <w:r w:rsidR="00AA1EFE" w:rsidRPr="00557D32">
              <w:rPr>
                <w:webHidden/>
              </w:rPr>
            </w:r>
            <w:r w:rsidR="00AA1EFE" w:rsidRPr="00557D32">
              <w:rPr>
                <w:webHidden/>
              </w:rPr>
              <w:fldChar w:fldCharType="separate"/>
            </w:r>
            <w:r w:rsidR="00D52136">
              <w:rPr>
                <w:webHidden/>
              </w:rPr>
              <w:t>6</w:t>
            </w:r>
            <w:r w:rsidR="00AA1EFE" w:rsidRPr="00557D32">
              <w:rPr>
                <w:webHidden/>
              </w:rPr>
              <w:fldChar w:fldCharType="end"/>
            </w:r>
          </w:hyperlink>
        </w:p>
        <w:p w14:paraId="2CD88023" w14:textId="0FA80932" w:rsidR="00AA1EFE" w:rsidRPr="00557D32" w:rsidRDefault="00932B2F" w:rsidP="00B342D0">
          <w:pPr>
            <w:pStyle w:val="TOC2"/>
            <w:rPr>
              <w:rFonts w:eastAsiaTheme="minorEastAsia" w:cstheme="minorBidi"/>
              <w:sz w:val="24"/>
              <w:szCs w:val="24"/>
              <w:lang w:val="en-GB" w:eastAsia="en-GB"/>
            </w:rPr>
          </w:pPr>
          <w:hyperlink w:anchor="_Toc67035833" w:history="1">
            <w:r w:rsidR="00AA1EFE" w:rsidRPr="00557D32">
              <w:rPr>
                <w:rStyle w:val="Hyperlink"/>
                <w:color w:val="000000" w:themeColor="text1"/>
                <w:lang w:eastAsia="ja-JP"/>
              </w:rPr>
              <w:t>Definitions</w:t>
            </w:r>
            <w:r w:rsidR="00AA1EFE" w:rsidRPr="00557D32">
              <w:rPr>
                <w:webHidden/>
              </w:rPr>
              <w:tab/>
            </w:r>
            <w:r w:rsidR="00AA1EFE" w:rsidRPr="00557D32">
              <w:rPr>
                <w:webHidden/>
              </w:rPr>
              <w:fldChar w:fldCharType="begin"/>
            </w:r>
            <w:r w:rsidR="00AA1EFE" w:rsidRPr="00557D32">
              <w:rPr>
                <w:webHidden/>
              </w:rPr>
              <w:instrText xml:space="preserve"> PAGEREF _Toc67035833 \h </w:instrText>
            </w:r>
            <w:r w:rsidR="00AA1EFE" w:rsidRPr="00557D32">
              <w:rPr>
                <w:webHidden/>
              </w:rPr>
            </w:r>
            <w:r w:rsidR="00AA1EFE" w:rsidRPr="00557D32">
              <w:rPr>
                <w:webHidden/>
              </w:rPr>
              <w:fldChar w:fldCharType="separate"/>
            </w:r>
            <w:r w:rsidR="00D52136">
              <w:rPr>
                <w:webHidden/>
              </w:rPr>
              <w:t>7</w:t>
            </w:r>
            <w:r w:rsidR="00AA1EFE" w:rsidRPr="00557D32">
              <w:rPr>
                <w:webHidden/>
              </w:rPr>
              <w:fldChar w:fldCharType="end"/>
            </w:r>
          </w:hyperlink>
        </w:p>
        <w:p w14:paraId="08B885AD" w14:textId="6DFD6959" w:rsidR="00AA1EFE" w:rsidRPr="00557D32" w:rsidRDefault="00932B2F" w:rsidP="00B342D0">
          <w:pPr>
            <w:pStyle w:val="TOC2"/>
            <w:rPr>
              <w:rFonts w:eastAsiaTheme="minorEastAsia" w:cstheme="minorBidi"/>
              <w:sz w:val="24"/>
              <w:szCs w:val="24"/>
              <w:lang w:val="en-GB" w:eastAsia="en-GB"/>
            </w:rPr>
          </w:pPr>
          <w:hyperlink w:anchor="_Toc67035834" w:history="1">
            <w:r w:rsidR="00AA1EFE" w:rsidRPr="00557D32">
              <w:rPr>
                <w:rStyle w:val="Hyperlink"/>
                <w:color w:val="000000" w:themeColor="text1"/>
                <w:lang w:eastAsia="ja-JP"/>
              </w:rPr>
              <w:t>Note on Terminology</w:t>
            </w:r>
            <w:r w:rsidR="00AA1EFE" w:rsidRPr="00557D32">
              <w:rPr>
                <w:webHidden/>
              </w:rPr>
              <w:tab/>
            </w:r>
            <w:r w:rsidR="00AA1EFE" w:rsidRPr="00557D32">
              <w:rPr>
                <w:webHidden/>
              </w:rPr>
              <w:fldChar w:fldCharType="begin"/>
            </w:r>
            <w:r w:rsidR="00AA1EFE" w:rsidRPr="00557D32">
              <w:rPr>
                <w:webHidden/>
              </w:rPr>
              <w:instrText xml:space="preserve"> PAGEREF _Toc67035834 \h </w:instrText>
            </w:r>
            <w:r w:rsidR="00AA1EFE" w:rsidRPr="00557D32">
              <w:rPr>
                <w:webHidden/>
              </w:rPr>
            </w:r>
            <w:r w:rsidR="00AA1EFE" w:rsidRPr="00557D32">
              <w:rPr>
                <w:webHidden/>
              </w:rPr>
              <w:fldChar w:fldCharType="separate"/>
            </w:r>
            <w:r w:rsidR="00D52136">
              <w:rPr>
                <w:webHidden/>
              </w:rPr>
              <w:t>8</w:t>
            </w:r>
            <w:r w:rsidR="00AA1EFE" w:rsidRPr="00557D32">
              <w:rPr>
                <w:webHidden/>
              </w:rPr>
              <w:fldChar w:fldCharType="end"/>
            </w:r>
          </w:hyperlink>
        </w:p>
        <w:p w14:paraId="29ECF1D9" w14:textId="07AAA431" w:rsidR="00AA1EFE" w:rsidRPr="00557D32" w:rsidRDefault="00932B2F" w:rsidP="00B342D0">
          <w:pPr>
            <w:pStyle w:val="TOC1"/>
            <w:rPr>
              <w:rFonts w:asciiTheme="minorHAnsi" w:eastAsiaTheme="minorEastAsia" w:hAnsiTheme="minorHAnsi" w:cstheme="minorBidi"/>
              <w:sz w:val="24"/>
              <w:szCs w:val="24"/>
              <w:lang w:val="en-GB" w:eastAsia="en-GB" w:bidi="ar-SA"/>
            </w:rPr>
          </w:pPr>
          <w:hyperlink w:anchor="_Toc67035835" w:history="1">
            <w:r w:rsidR="00AA1EFE" w:rsidRPr="00557D32">
              <w:rPr>
                <w:rStyle w:val="Hyperlink"/>
                <w:color w:val="000000" w:themeColor="text1"/>
              </w:rPr>
              <w:t>Introduction &amp; Aims</w:t>
            </w:r>
            <w:r w:rsidR="00AA1EFE" w:rsidRPr="00557D32">
              <w:rPr>
                <w:webHidden/>
              </w:rPr>
              <w:tab/>
            </w:r>
            <w:r w:rsidR="00AA1EFE" w:rsidRPr="00557D32">
              <w:rPr>
                <w:webHidden/>
              </w:rPr>
              <w:fldChar w:fldCharType="begin"/>
            </w:r>
            <w:r w:rsidR="00AA1EFE" w:rsidRPr="00557D32">
              <w:rPr>
                <w:webHidden/>
              </w:rPr>
              <w:instrText xml:space="preserve"> PAGEREF _Toc67035835 \h </w:instrText>
            </w:r>
            <w:r w:rsidR="00AA1EFE" w:rsidRPr="00557D32">
              <w:rPr>
                <w:webHidden/>
              </w:rPr>
            </w:r>
            <w:r w:rsidR="00AA1EFE" w:rsidRPr="00557D32">
              <w:rPr>
                <w:webHidden/>
              </w:rPr>
              <w:fldChar w:fldCharType="separate"/>
            </w:r>
            <w:r w:rsidR="00D52136">
              <w:rPr>
                <w:webHidden/>
              </w:rPr>
              <w:t>9</w:t>
            </w:r>
            <w:r w:rsidR="00AA1EFE" w:rsidRPr="00557D32">
              <w:rPr>
                <w:webHidden/>
              </w:rPr>
              <w:fldChar w:fldCharType="end"/>
            </w:r>
          </w:hyperlink>
        </w:p>
        <w:p w14:paraId="0206EDEC" w14:textId="4BFCC7B9" w:rsidR="00AA1EFE" w:rsidRPr="00557D32" w:rsidRDefault="00932B2F" w:rsidP="00B342D0">
          <w:pPr>
            <w:pStyle w:val="TOC2"/>
            <w:rPr>
              <w:rFonts w:eastAsiaTheme="minorEastAsia" w:cstheme="minorBidi"/>
              <w:sz w:val="24"/>
              <w:szCs w:val="24"/>
              <w:lang w:val="en-GB" w:eastAsia="en-GB"/>
            </w:rPr>
          </w:pPr>
          <w:hyperlink w:anchor="_Toc67035836" w:history="1">
            <w:r w:rsidR="00AA1EFE" w:rsidRPr="00557D32">
              <w:rPr>
                <w:rStyle w:val="Hyperlink"/>
                <w:color w:val="000000" w:themeColor="text1"/>
              </w:rPr>
              <w:t>Understanding SVH in Australia</w:t>
            </w:r>
            <w:r w:rsidR="00AA1EFE" w:rsidRPr="00557D32">
              <w:rPr>
                <w:webHidden/>
              </w:rPr>
              <w:tab/>
            </w:r>
            <w:r w:rsidR="00AA1EFE" w:rsidRPr="00557D32">
              <w:rPr>
                <w:webHidden/>
              </w:rPr>
              <w:fldChar w:fldCharType="begin"/>
            </w:r>
            <w:r w:rsidR="00AA1EFE" w:rsidRPr="00557D32">
              <w:rPr>
                <w:webHidden/>
              </w:rPr>
              <w:instrText xml:space="preserve"> PAGEREF _Toc67035836 \h </w:instrText>
            </w:r>
            <w:r w:rsidR="00AA1EFE" w:rsidRPr="00557D32">
              <w:rPr>
                <w:webHidden/>
              </w:rPr>
            </w:r>
            <w:r w:rsidR="00AA1EFE" w:rsidRPr="00557D32">
              <w:rPr>
                <w:webHidden/>
              </w:rPr>
              <w:fldChar w:fldCharType="separate"/>
            </w:r>
            <w:r w:rsidR="00D52136">
              <w:rPr>
                <w:webHidden/>
              </w:rPr>
              <w:t>10</w:t>
            </w:r>
            <w:r w:rsidR="00AA1EFE" w:rsidRPr="00557D32">
              <w:rPr>
                <w:webHidden/>
              </w:rPr>
              <w:fldChar w:fldCharType="end"/>
            </w:r>
          </w:hyperlink>
        </w:p>
        <w:p w14:paraId="5EE23346" w14:textId="03A2D8B9" w:rsidR="00AA1EFE" w:rsidRPr="00557D32" w:rsidRDefault="00932B2F" w:rsidP="00B342D0">
          <w:pPr>
            <w:pStyle w:val="TOC2"/>
            <w:rPr>
              <w:rFonts w:eastAsiaTheme="minorEastAsia" w:cstheme="minorBidi"/>
              <w:sz w:val="24"/>
              <w:szCs w:val="24"/>
              <w:lang w:val="en-GB" w:eastAsia="en-GB"/>
            </w:rPr>
          </w:pPr>
          <w:hyperlink w:anchor="_Toc67035837" w:history="1">
            <w:r w:rsidR="00AA1EFE" w:rsidRPr="00557D32">
              <w:rPr>
                <w:rStyle w:val="Hyperlink"/>
                <w:color w:val="000000" w:themeColor="text1"/>
              </w:rPr>
              <w:t>What is Primary Prevention?</w:t>
            </w:r>
            <w:r w:rsidR="00AA1EFE" w:rsidRPr="00557D32">
              <w:rPr>
                <w:webHidden/>
              </w:rPr>
              <w:tab/>
            </w:r>
            <w:r w:rsidR="00AA1EFE" w:rsidRPr="00557D32">
              <w:rPr>
                <w:webHidden/>
              </w:rPr>
              <w:fldChar w:fldCharType="begin"/>
            </w:r>
            <w:r w:rsidR="00AA1EFE" w:rsidRPr="00557D32">
              <w:rPr>
                <w:webHidden/>
              </w:rPr>
              <w:instrText xml:space="preserve"> PAGEREF _Toc67035837 \h </w:instrText>
            </w:r>
            <w:r w:rsidR="00AA1EFE" w:rsidRPr="00557D32">
              <w:rPr>
                <w:webHidden/>
              </w:rPr>
            </w:r>
            <w:r w:rsidR="00AA1EFE" w:rsidRPr="00557D32">
              <w:rPr>
                <w:webHidden/>
              </w:rPr>
              <w:fldChar w:fldCharType="separate"/>
            </w:r>
            <w:r w:rsidR="00D52136">
              <w:rPr>
                <w:webHidden/>
              </w:rPr>
              <w:t>11</w:t>
            </w:r>
            <w:r w:rsidR="00AA1EFE" w:rsidRPr="00557D32">
              <w:rPr>
                <w:webHidden/>
              </w:rPr>
              <w:fldChar w:fldCharType="end"/>
            </w:r>
          </w:hyperlink>
        </w:p>
        <w:p w14:paraId="26D5FBA5" w14:textId="68CFAA57" w:rsidR="00AA1EFE" w:rsidRPr="00557D32" w:rsidRDefault="00932B2F" w:rsidP="00B342D0">
          <w:pPr>
            <w:pStyle w:val="TOC2"/>
            <w:rPr>
              <w:rFonts w:eastAsiaTheme="minorEastAsia" w:cstheme="minorBidi"/>
              <w:sz w:val="24"/>
              <w:szCs w:val="24"/>
              <w:lang w:val="en-GB" w:eastAsia="en-GB"/>
            </w:rPr>
          </w:pPr>
          <w:hyperlink w:anchor="_Toc67035838" w:history="1">
            <w:r w:rsidR="00AA1EFE" w:rsidRPr="00557D32">
              <w:rPr>
                <w:rStyle w:val="Hyperlink"/>
                <w:color w:val="000000" w:themeColor="text1"/>
              </w:rPr>
              <w:t>Putting a Spotlight on the Primary Prevention of SVH</w:t>
            </w:r>
            <w:r w:rsidR="00AA1EFE" w:rsidRPr="00557D32">
              <w:rPr>
                <w:webHidden/>
              </w:rPr>
              <w:tab/>
            </w:r>
            <w:r w:rsidR="00AA1EFE" w:rsidRPr="00557D32">
              <w:rPr>
                <w:webHidden/>
              </w:rPr>
              <w:fldChar w:fldCharType="begin"/>
            </w:r>
            <w:r w:rsidR="00AA1EFE" w:rsidRPr="00557D32">
              <w:rPr>
                <w:webHidden/>
              </w:rPr>
              <w:instrText xml:space="preserve"> PAGEREF _Toc67035838 \h </w:instrText>
            </w:r>
            <w:r w:rsidR="00AA1EFE" w:rsidRPr="00557D32">
              <w:rPr>
                <w:webHidden/>
              </w:rPr>
            </w:r>
            <w:r w:rsidR="00AA1EFE" w:rsidRPr="00557D32">
              <w:rPr>
                <w:webHidden/>
              </w:rPr>
              <w:fldChar w:fldCharType="separate"/>
            </w:r>
            <w:r w:rsidR="00D52136">
              <w:rPr>
                <w:webHidden/>
              </w:rPr>
              <w:t>12</w:t>
            </w:r>
            <w:r w:rsidR="00AA1EFE" w:rsidRPr="00557D32">
              <w:rPr>
                <w:webHidden/>
              </w:rPr>
              <w:fldChar w:fldCharType="end"/>
            </w:r>
          </w:hyperlink>
        </w:p>
        <w:p w14:paraId="7A23B30B" w14:textId="29E451AA" w:rsidR="00AA1EFE" w:rsidRPr="00557D32" w:rsidRDefault="00932B2F" w:rsidP="00B342D0">
          <w:pPr>
            <w:pStyle w:val="TOC1"/>
            <w:rPr>
              <w:rFonts w:asciiTheme="minorHAnsi" w:eastAsiaTheme="minorEastAsia" w:hAnsiTheme="minorHAnsi" w:cstheme="minorBidi"/>
              <w:sz w:val="24"/>
              <w:szCs w:val="24"/>
              <w:lang w:val="en-GB" w:eastAsia="en-GB" w:bidi="ar-SA"/>
            </w:rPr>
          </w:pPr>
          <w:hyperlink w:anchor="_Toc67035839" w:history="1">
            <w:r w:rsidR="00AA1EFE" w:rsidRPr="00557D32">
              <w:rPr>
                <w:rStyle w:val="Hyperlink"/>
                <w:color w:val="000000" w:themeColor="text1"/>
              </w:rPr>
              <w:t>Scope of the Project</w:t>
            </w:r>
            <w:r w:rsidR="00AA1EFE" w:rsidRPr="00557D32">
              <w:rPr>
                <w:webHidden/>
              </w:rPr>
              <w:tab/>
            </w:r>
            <w:r w:rsidR="00AA1EFE" w:rsidRPr="00557D32">
              <w:rPr>
                <w:webHidden/>
              </w:rPr>
              <w:fldChar w:fldCharType="begin"/>
            </w:r>
            <w:r w:rsidR="00AA1EFE" w:rsidRPr="00557D32">
              <w:rPr>
                <w:webHidden/>
              </w:rPr>
              <w:instrText xml:space="preserve"> PAGEREF _Toc67035839 \h </w:instrText>
            </w:r>
            <w:r w:rsidR="00AA1EFE" w:rsidRPr="00557D32">
              <w:rPr>
                <w:webHidden/>
              </w:rPr>
            </w:r>
            <w:r w:rsidR="00AA1EFE" w:rsidRPr="00557D32">
              <w:rPr>
                <w:webHidden/>
              </w:rPr>
              <w:fldChar w:fldCharType="separate"/>
            </w:r>
            <w:r w:rsidR="00D52136">
              <w:rPr>
                <w:webHidden/>
              </w:rPr>
              <w:t>13</w:t>
            </w:r>
            <w:r w:rsidR="00AA1EFE" w:rsidRPr="00557D32">
              <w:rPr>
                <w:webHidden/>
              </w:rPr>
              <w:fldChar w:fldCharType="end"/>
            </w:r>
          </w:hyperlink>
        </w:p>
        <w:p w14:paraId="46989F7D" w14:textId="197FFEB4" w:rsidR="00AA1EFE" w:rsidRPr="00557D32" w:rsidRDefault="00932B2F" w:rsidP="00B342D0">
          <w:pPr>
            <w:pStyle w:val="TOC2"/>
            <w:rPr>
              <w:rFonts w:eastAsiaTheme="minorEastAsia" w:cstheme="minorBidi"/>
              <w:sz w:val="24"/>
              <w:szCs w:val="24"/>
              <w:lang w:val="en-GB" w:eastAsia="en-GB"/>
            </w:rPr>
          </w:pPr>
          <w:hyperlink w:anchor="_Toc67035840" w:history="1">
            <w:r w:rsidR="00AA1EFE" w:rsidRPr="00557D32">
              <w:rPr>
                <w:rStyle w:val="Hyperlink"/>
                <w:color w:val="000000" w:themeColor="text1"/>
              </w:rPr>
              <w:t>Sector Consultations</w:t>
            </w:r>
            <w:r w:rsidR="00AA1EFE" w:rsidRPr="00557D32">
              <w:rPr>
                <w:webHidden/>
              </w:rPr>
              <w:tab/>
            </w:r>
            <w:r w:rsidR="00AA1EFE" w:rsidRPr="00557D32">
              <w:rPr>
                <w:webHidden/>
              </w:rPr>
              <w:fldChar w:fldCharType="begin"/>
            </w:r>
            <w:r w:rsidR="00AA1EFE" w:rsidRPr="00557D32">
              <w:rPr>
                <w:webHidden/>
              </w:rPr>
              <w:instrText xml:space="preserve"> PAGEREF _Toc67035840 \h </w:instrText>
            </w:r>
            <w:r w:rsidR="00AA1EFE" w:rsidRPr="00557D32">
              <w:rPr>
                <w:webHidden/>
              </w:rPr>
            </w:r>
            <w:r w:rsidR="00AA1EFE" w:rsidRPr="00557D32">
              <w:rPr>
                <w:webHidden/>
              </w:rPr>
              <w:fldChar w:fldCharType="separate"/>
            </w:r>
            <w:r w:rsidR="00D52136">
              <w:rPr>
                <w:webHidden/>
              </w:rPr>
              <w:t>13</w:t>
            </w:r>
            <w:r w:rsidR="00AA1EFE" w:rsidRPr="00557D32">
              <w:rPr>
                <w:webHidden/>
              </w:rPr>
              <w:fldChar w:fldCharType="end"/>
            </w:r>
          </w:hyperlink>
        </w:p>
        <w:p w14:paraId="682B46DD" w14:textId="2206EDA6" w:rsidR="00AA1EFE" w:rsidRPr="00557D32" w:rsidRDefault="00932B2F" w:rsidP="00B342D0">
          <w:pPr>
            <w:pStyle w:val="TOC2"/>
            <w:rPr>
              <w:rFonts w:eastAsiaTheme="minorEastAsia" w:cstheme="minorBidi"/>
              <w:sz w:val="24"/>
              <w:szCs w:val="24"/>
              <w:lang w:val="en-GB" w:eastAsia="en-GB"/>
            </w:rPr>
          </w:pPr>
          <w:hyperlink w:anchor="_Toc67035841" w:history="1">
            <w:r w:rsidR="00AA1EFE" w:rsidRPr="00557D32">
              <w:rPr>
                <w:rStyle w:val="Hyperlink"/>
                <w:color w:val="000000" w:themeColor="text1"/>
              </w:rPr>
              <w:t>Key findings – Evidence Review and Data Analysis/Synthesis</w:t>
            </w:r>
            <w:r w:rsidR="00AA1EFE" w:rsidRPr="00557D32">
              <w:rPr>
                <w:webHidden/>
              </w:rPr>
              <w:tab/>
            </w:r>
            <w:r w:rsidR="00AA1EFE" w:rsidRPr="00557D32">
              <w:rPr>
                <w:webHidden/>
              </w:rPr>
              <w:fldChar w:fldCharType="begin"/>
            </w:r>
            <w:r w:rsidR="00AA1EFE" w:rsidRPr="00557D32">
              <w:rPr>
                <w:webHidden/>
              </w:rPr>
              <w:instrText xml:space="preserve"> PAGEREF _Toc67035841 \h </w:instrText>
            </w:r>
            <w:r w:rsidR="00AA1EFE" w:rsidRPr="00557D32">
              <w:rPr>
                <w:webHidden/>
              </w:rPr>
            </w:r>
            <w:r w:rsidR="00AA1EFE" w:rsidRPr="00557D32">
              <w:rPr>
                <w:webHidden/>
              </w:rPr>
              <w:fldChar w:fldCharType="separate"/>
            </w:r>
            <w:r w:rsidR="00D52136">
              <w:rPr>
                <w:webHidden/>
              </w:rPr>
              <w:t>14</w:t>
            </w:r>
            <w:r w:rsidR="00AA1EFE" w:rsidRPr="00557D32">
              <w:rPr>
                <w:webHidden/>
              </w:rPr>
              <w:fldChar w:fldCharType="end"/>
            </w:r>
          </w:hyperlink>
        </w:p>
        <w:p w14:paraId="5F4A7EED" w14:textId="68657D4B" w:rsidR="00AA1EFE" w:rsidRPr="00557D32" w:rsidRDefault="00932B2F" w:rsidP="00B342D0">
          <w:pPr>
            <w:pStyle w:val="TOC2"/>
            <w:rPr>
              <w:rFonts w:eastAsiaTheme="minorEastAsia" w:cstheme="minorBidi"/>
              <w:sz w:val="24"/>
              <w:szCs w:val="24"/>
              <w:lang w:val="en-GB" w:eastAsia="en-GB"/>
            </w:rPr>
          </w:pPr>
          <w:hyperlink w:anchor="_Toc67035842" w:history="1">
            <w:r w:rsidR="00AA1EFE" w:rsidRPr="00557D32">
              <w:rPr>
                <w:rStyle w:val="Hyperlink"/>
                <w:color w:val="000000" w:themeColor="text1"/>
              </w:rPr>
              <w:t>Key Findings – Sector and Expert Consultation</w:t>
            </w:r>
            <w:r w:rsidR="00AA1EFE" w:rsidRPr="00557D32">
              <w:rPr>
                <w:webHidden/>
              </w:rPr>
              <w:tab/>
            </w:r>
            <w:r w:rsidR="00AA1EFE" w:rsidRPr="00557D32">
              <w:rPr>
                <w:webHidden/>
              </w:rPr>
              <w:fldChar w:fldCharType="begin"/>
            </w:r>
            <w:r w:rsidR="00AA1EFE" w:rsidRPr="00557D32">
              <w:rPr>
                <w:webHidden/>
              </w:rPr>
              <w:instrText xml:space="preserve"> PAGEREF _Toc67035842 \h </w:instrText>
            </w:r>
            <w:r w:rsidR="00AA1EFE" w:rsidRPr="00557D32">
              <w:rPr>
                <w:webHidden/>
              </w:rPr>
            </w:r>
            <w:r w:rsidR="00AA1EFE" w:rsidRPr="00557D32">
              <w:rPr>
                <w:webHidden/>
              </w:rPr>
              <w:fldChar w:fldCharType="separate"/>
            </w:r>
            <w:r w:rsidR="00D52136">
              <w:rPr>
                <w:webHidden/>
              </w:rPr>
              <w:t>17</w:t>
            </w:r>
            <w:r w:rsidR="00AA1EFE" w:rsidRPr="00557D32">
              <w:rPr>
                <w:webHidden/>
              </w:rPr>
              <w:fldChar w:fldCharType="end"/>
            </w:r>
          </w:hyperlink>
        </w:p>
        <w:p w14:paraId="47F4207D" w14:textId="2BB7B36A" w:rsidR="00AA1EFE" w:rsidRPr="00557D32" w:rsidRDefault="00932B2F" w:rsidP="00B342D0">
          <w:pPr>
            <w:pStyle w:val="TOC1"/>
            <w:rPr>
              <w:rFonts w:asciiTheme="minorHAnsi" w:eastAsiaTheme="minorEastAsia" w:hAnsiTheme="minorHAnsi" w:cstheme="minorBidi"/>
              <w:sz w:val="24"/>
              <w:szCs w:val="24"/>
              <w:lang w:val="en-GB" w:eastAsia="en-GB" w:bidi="ar-SA"/>
            </w:rPr>
          </w:pPr>
          <w:hyperlink w:anchor="_Toc67035843" w:history="1">
            <w:r w:rsidR="00AA1EFE" w:rsidRPr="00557D32">
              <w:rPr>
                <w:rStyle w:val="Hyperlink"/>
                <w:color w:val="000000" w:themeColor="text1"/>
              </w:rPr>
              <w:t>Theory of Change</w:t>
            </w:r>
            <w:r w:rsidR="00AA1EFE" w:rsidRPr="00557D32">
              <w:rPr>
                <w:webHidden/>
              </w:rPr>
              <w:tab/>
            </w:r>
            <w:r w:rsidR="00AA1EFE" w:rsidRPr="00557D32">
              <w:rPr>
                <w:webHidden/>
              </w:rPr>
              <w:fldChar w:fldCharType="begin"/>
            </w:r>
            <w:r w:rsidR="00AA1EFE" w:rsidRPr="00557D32">
              <w:rPr>
                <w:webHidden/>
              </w:rPr>
              <w:instrText xml:space="preserve"> PAGEREF _Toc67035843 \h </w:instrText>
            </w:r>
            <w:r w:rsidR="00AA1EFE" w:rsidRPr="00557D32">
              <w:rPr>
                <w:webHidden/>
              </w:rPr>
            </w:r>
            <w:r w:rsidR="00AA1EFE" w:rsidRPr="00557D32">
              <w:rPr>
                <w:webHidden/>
              </w:rPr>
              <w:fldChar w:fldCharType="separate"/>
            </w:r>
            <w:r w:rsidR="00D52136">
              <w:rPr>
                <w:webHidden/>
              </w:rPr>
              <w:t>22</w:t>
            </w:r>
            <w:r w:rsidR="00AA1EFE" w:rsidRPr="00557D32">
              <w:rPr>
                <w:webHidden/>
              </w:rPr>
              <w:fldChar w:fldCharType="end"/>
            </w:r>
          </w:hyperlink>
        </w:p>
        <w:p w14:paraId="7B8F45CE" w14:textId="15073A09" w:rsidR="00AA1EFE" w:rsidRPr="00557D32" w:rsidRDefault="00932B2F" w:rsidP="00B342D0">
          <w:pPr>
            <w:pStyle w:val="TOC2"/>
            <w:rPr>
              <w:rFonts w:eastAsiaTheme="minorEastAsia" w:cstheme="minorBidi"/>
              <w:sz w:val="24"/>
              <w:szCs w:val="24"/>
              <w:lang w:val="en-GB" w:eastAsia="en-GB"/>
            </w:rPr>
          </w:pPr>
          <w:hyperlink w:anchor="_Toc67035844" w:history="1">
            <w:r w:rsidR="00AA1EFE" w:rsidRPr="00557D32">
              <w:rPr>
                <w:rStyle w:val="Hyperlink"/>
                <w:color w:val="000000" w:themeColor="text1"/>
              </w:rPr>
              <w:t>Why a Theory of Change?</w:t>
            </w:r>
            <w:r w:rsidR="00AA1EFE" w:rsidRPr="00557D32">
              <w:rPr>
                <w:webHidden/>
              </w:rPr>
              <w:tab/>
            </w:r>
            <w:r w:rsidR="00AA1EFE" w:rsidRPr="00557D32">
              <w:rPr>
                <w:webHidden/>
              </w:rPr>
              <w:fldChar w:fldCharType="begin"/>
            </w:r>
            <w:r w:rsidR="00AA1EFE" w:rsidRPr="00557D32">
              <w:rPr>
                <w:webHidden/>
              </w:rPr>
              <w:instrText xml:space="preserve"> PAGEREF _Toc67035844 \h </w:instrText>
            </w:r>
            <w:r w:rsidR="00AA1EFE" w:rsidRPr="00557D32">
              <w:rPr>
                <w:webHidden/>
              </w:rPr>
            </w:r>
            <w:r w:rsidR="00AA1EFE" w:rsidRPr="00557D32">
              <w:rPr>
                <w:webHidden/>
              </w:rPr>
              <w:fldChar w:fldCharType="separate"/>
            </w:r>
            <w:r w:rsidR="00D52136">
              <w:rPr>
                <w:webHidden/>
              </w:rPr>
              <w:t>22</w:t>
            </w:r>
            <w:r w:rsidR="00AA1EFE" w:rsidRPr="00557D32">
              <w:rPr>
                <w:webHidden/>
              </w:rPr>
              <w:fldChar w:fldCharType="end"/>
            </w:r>
          </w:hyperlink>
        </w:p>
        <w:p w14:paraId="4275ED57" w14:textId="382A5335" w:rsidR="00AA1EFE" w:rsidRPr="00557D32" w:rsidRDefault="00932B2F" w:rsidP="00B342D0">
          <w:pPr>
            <w:pStyle w:val="TOC2"/>
            <w:rPr>
              <w:rFonts w:eastAsiaTheme="minorEastAsia" w:cstheme="minorBidi"/>
              <w:sz w:val="24"/>
              <w:szCs w:val="24"/>
              <w:lang w:val="en-GB" w:eastAsia="en-GB"/>
            </w:rPr>
          </w:pPr>
          <w:hyperlink w:anchor="_Toc67035845" w:history="1">
            <w:r w:rsidR="00AA1EFE" w:rsidRPr="00557D32">
              <w:rPr>
                <w:rStyle w:val="Hyperlink"/>
                <w:color w:val="000000" w:themeColor="text1"/>
              </w:rPr>
              <w:t>Guiding Principles to SVH Primary Prevention Research</w:t>
            </w:r>
            <w:r w:rsidR="00AA1EFE" w:rsidRPr="00557D32">
              <w:rPr>
                <w:webHidden/>
              </w:rPr>
              <w:tab/>
            </w:r>
            <w:r w:rsidR="00AA1EFE" w:rsidRPr="00557D32">
              <w:rPr>
                <w:webHidden/>
              </w:rPr>
              <w:fldChar w:fldCharType="begin"/>
            </w:r>
            <w:r w:rsidR="00AA1EFE" w:rsidRPr="00557D32">
              <w:rPr>
                <w:webHidden/>
              </w:rPr>
              <w:instrText xml:space="preserve"> PAGEREF _Toc67035845 \h </w:instrText>
            </w:r>
            <w:r w:rsidR="00AA1EFE" w:rsidRPr="00557D32">
              <w:rPr>
                <w:webHidden/>
              </w:rPr>
            </w:r>
            <w:r w:rsidR="00AA1EFE" w:rsidRPr="00557D32">
              <w:rPr>
                <w:webHidden/>
              </w:rPr>
              <w:fldChar w:fldCharType="separate"/>
            </w:r>
            <w:r w:rsidR="00D52136">
              <w:rPr>
                <w:webHidden/>
              </w:rPr>
              <w:t>23</w:t>
            </w:r>
            <w:r w:rsidR="00AA1EFE" w:rsidRPr="00557D32">
              <w:rPr>
                <w:webHidden/>
              </w:rPr>
              <w:fldChar w:fldCharType="end"/>
            </w:r>
          </w:hyperlink>
        </w:p>
        <w:p w14:paraId="411F0609" w14:textId="7D10C975" w:rsidR="00AA1EFE" w:rsidRPr="00557D32" w:rsidRDefault="00932B2F" w:rsidP="00B342D0">
          <w:pPr>
            <w:pStyle w:val="TOC2"/>
            <w:rPr>
              <w:rFonts w:eastAsiaTheme="minorEastAsia" w:cstheme="minorBidi"/>
              <w:sz w:val="24"/>
              <w:szCs w:val="24"/>
              <w:lang w:val="en-GB" w:eastAsia="en-GB"/>
            </w:rPr>
          </w:pPr>
          <w:hyperlink w:anchor="_Toc67035846" w:history="1">
            <w:r w:rsidR="00AA1EFE" w:rsidRPr="00557D32">
              <w:rPr>
                <w:rStyle w:val="Hyperlink"/>
                <w:color w:val="000000" w:themeColor="text1"/>
              </w:rPr>
              <w:t>Problem Statement</w:t>
            </w:r>
            <w:r w:rsidR="00AA1EFE" w:rsidRPr="00557D32">
              <w:rPr>
                <w:webHidden/>
              </w:rPr>
              <w:tab/>
            </w:r>
            <w:r w:rsidR="00AA1EFE" w:rsidRPr="00557D32">
              <w:rPr>
                <w:webHidden/>
              </w:rPr>
              <w:fldChar w:fldCharType="begin"/>
            </w:r>
            <w:r w:rsidR="00AA1EFE" w:rsidRPr="00557D32">
              <w:rPr>
                <w:webHidden/>
              </w:rPr>
              <w:instrText xml:space="preserve"> PAGEREF _Toc67035846 \h </w:instrText>
            </w:r>
            <w:r w:rsidR="00AA1EFE" w:rsidRPr="00557D32">
              <w:rPr>
                <w:webHidden/>
              </w:rPr>
            </w:r>
            <w:r w:rsidR="00AA1EFE" w:rsidRPr="00557D32">
              <w:rPr>
                <w:webHidden/>
              </w:rPr>
              <w:fldChar w:fldCharType="separate"/>
            </w:r>
            <w:r w:rsidR="00D52136">
              <w:rPr>
                <w:webHidden/>
              </w:rPr>
              <w:t>24</w:t>
            </w:r>
            <w:r w:rsidR="00AA1EFE" w:rsidRPr="00557D32">
              <w:rPr>
                <w:webHidden/>
              </w:rPr>
              <w:fldChar w:fldCharType="end"/>
            </w:r>
          </w:hyperlink>
        </w:p>
        <w:p w14:paraId="5E376288" w14:textId="1C1E12B3" w:rsidR="00AA1EFE" w:rsidRPr="00557D32" w:rsidRDefault="00932B2F" w:rsidP="00B342D0">
          <w:pPr>
            <w:pStyle w:val="TOC2"/>
            <w:rPr>
              <w:rFonts w:eastAsiaTheme="minorEastAsia" w:cstheme="minorBidi"/>
              <w:sz w:val="24"/>
              <w:szCs w:val="24"/>
              <w:lang w:val="en-GB" w:eastAsia="en-GB"/>
            </w:rPr>
          </w:pPr>
          <w:hyperlink w:anchor="_Toc67035847" w:history="1">
            <w:r w:rsidR="00AA1EFE" w:rsidRPr="00557D32">
              <w:rPr>
                <w:rStyle w:val="Hyperlink"/>
                <w:color w:val="000000" w:themeColor="text1"/>
              </w:rPr>
              <w:t>Barriers to Primary Prevention</w:t>
            </w:r>
            <w:r w:rsidR="00AA1EFE" w:rsidRPr="00557D32">
              <w:rPr>
                <w:webHidden/>
              </w:rPr>
              <w:tab/>
            </w:r>
            <w:r w:rsidR="00AA1EFE" w:rsidRPr="00557D32">
              <w:rPr>
                <w:webHidden/>
              </w:rPr>
              <w:fldChar w:fldCharType="begin"/>
            </w:r>
            <w:r w:rsidR="00AA1EFE" w:rsidRPr="00557D32">
              <w:rPr>
                <w:webHidden/>
              </w:rPr>
              <w:instrText xml:space="preserve"> PAGEREF _Toc67035847 \h </w:instrText>
            </w:r>
            <w:r w:rsidR="00AA1EFE" w:rsidRPr="00557D32">
              <w:rPr>
                <w:webHidden/>
              </w:rPr>
            </w:r>
            <w:r w:rsidR="00AA1EFE" w:rsidRPr="00557D32">
              <w:rPr>
                <w:webHidden/>
              </w:rPr>
              <w:fldChar w:fldCharType="separate"/>
            </w:r>
            <w:r w:rsidR="00D52136">
              <w:rPr>
                <w:webHidden/>
              </w:rPr>
              <w:t>25</w:t>
            </w:r>
            <w:r w:rsidR="00AA1EFE" w:rsidRPr="00557D32">
              <w:rPr>
                <w:webHidden/>
              </w:rPr>
              <w:fldChar w:fldCharType="end"/>
            </w:r>
          </w:hyperlink>
        </w:p>
        <w:p w14:paraId="0DCBDE64" w14:textId="2F8402A2" w:rsidR="00AA1EFE" w:rsidRPr="00557D32" w:rsidRDefault="00932B2F" w:rsidP="00B342D0">
          <w:pPr>
            <w:pStyle w:val="TOC1"/>
            <w:rPr>
              <w:rFonts w:asciiTheme="minorHAnsi" w:eastAsiaTheme="minorEastAsia" w:hAnsiTheme="minorHAnsi" w:cstheme="minorBidi"/>
              <w:sz w:val="24"/>
              <w:szCs w:val="24"/>
              <w:lang w:val="en-GB" w:eastAsia="en-GB" w:bidi="ar-SA"/>
            </w:rPr>
          </w:pPr>
          <w:hyperlink w:anchor="_Toc67035848" w:history="1">
            <w:r w:rsidR="00AA1EFE" w:rsidRPr="00557D32">
              <w:rPr>
                <w:rStyle w:val="Hyperlink"/>
                <w:color w:val="000000" w:themeColor="text1"/>
              </w:rPr>
              <w:t>Narrative Theory of Change</w:t>
            </w:r>
            <w:r w:rsidR="00AA1EFE" w:rsidRPr="00557D32">
              <w:rPr>
                <w:webHidden/>
              </w:rPr>
              <w:tab/>
            </w:r>
            <w:r w:rsidR="00AA1EFE" w:rsidRPr="00557D32">
              <w:rPr>
                <w:webHidden/>
              </w:rPr>
              <w:fldChar w:fldCharType="begin"/>
            </w:r>
            <w:r w:rsidR="00AA1EFE" w:rsidRPr="00557D32">
              <w:rPr>
                <w:webHidden/>
              </w:rPr>
              <w:instrText xml:space="preserve"> PAGEREF _Toc67035848 \h </w:instrText>
            </w:r>
            <w:r w:rsidR="00AA1EFE" w:rsidRPr="00557D32">
              <w:rPr>
                <w:webHidden/>
              </w:rPr>
            </w:r>
            <w:r w:rsidR="00AA1EFE" w:rsidRPr="00557D32">
              <w:rPr>
                <w:webHidden/>
              </w:rPr>
              <w:fldChar w:fldCharType="separate"/>
            </w:r>
            <w:r w:rsidR="00D52136">
              <w:rPr>
                <w:webHidden/>
              </w:rPr>
              <w:t>27</w:t>
            </w:r>
            <w:r w:rsidR="00AA1EFE" w:rsidRPr="00557D32">
              <w:rPr>
                <w:webHidden/>
              </w:rPr>
              <w:fldChar w:fldCharType="end"/>
            </w:r>
          </w:hyperlink>
        </w:p>
        <w:p w14:paraId="611F53C7" w14:textId="4B205B35" w:rsidR="00AA1EFE" w:rsidRPr="00557D32" w:rsidRDefault="00932B2F" w:rsidP="00B342D0">
          <w:pPr>
            <w:pStyle w:val="TOC2"/>
            <w:rPr>
              <w:rFonts w:eastAsiaTheme="minorEastAsia" w:cstheme="minorBidi"/>
              <w:sz w:val="24"/>
              <w:szCs w:val="24"/>
              <w:lang w:val="en-GB" w:eastAsia="en-GB"/>
            </w:rPr>
          </w:pPr>
          <w:hyperlink w:anchor="_Toc67035849" w:history="1">
            <w:r w:rsidR="00AA1EFE" w:rsidRPr="00557D32">
              <w:rPr>
                <w:rStyle w:val="Hyperlink"/>
                <w:color w:val="000000" w:themeColor="text1"/>
              </w:rPr>
              <w:t>Conceptual Framework</w:t>
            </w:r>
            <w:r w:rsidR="00AA1EFE" w:rsidRPr="00557D32">
              <w:rPr>
                <w:webHidden/>
              </w:rPr>
              <w:tab/>
            </w:r>
            <w:r w:rsidR="00AA1EFE" w:rsidRPr="00557D32">
              <w:rPr>
                <w:webHidden/>
              </w:rPr>
              <w:fldChar w:fldCharType="begin"/>
            </w:r>
            <w:r w:rsidR="00AA1EFE" w:rsidRPr="00557D32">
              <w:rPr>
                <w:webHidden/>
              </w:rPr>
              <w:instrText xml:space="preserve"> PAGEREF _Toc67035849 \h </w:instrText>
            </w:r>
            <w:r w:rsidR="00AA1EFE" w:rsidRPr="00557D32">
              <w:rPr>
                <w:webHidden/>
              </w:rPr>
            </w:r>
            <w:r w:rsidR="00AA1EFE" w:rsidRPr="00557D32">
              <w:rPr>
                <w:webHidden/>
              </w:rPr>
              <w:fldChar w:fldCharType="separate"/>
            </w:r>
            <w:r w:rsidR="00D52136">
              <w:rPr>
                <w:webHidden/>
              </w:rPr>
              <w:t>28</w:t>
            </w:r>
            <w:r w:rsidR="00AA1EFE" w:rsidRPr="00557D32">
              <w:rPr>
                <w:webHidden/>
              </w:rPr>
              <w:fldChar w:fldCharType="end"/>
            </w:r>
          </w:hyperlink>
        </w:p>
        <w:p w14:paraId="09DDF501" w14:textId="083551FE" w:rsidR="00AA1EFE" w:rsidRDefault="00932B2F" w:rsidP="00B342D0">
          <w:pPr>
            <w:pStyle w:val="TOC2"/>
            <w:rPr>
              <w:rFonts w:eastAsiaTheme="minorEastAsia" w:cstheme="minorBidi"/>
              <w:color w:val="auto"/>
              <w:sz w:val="24"/>
              <w:szCs w:val="24"/>
              <w:lang w:val="en-GB" w:eastAsia="en-GB"/>
            </w:rPr>
          </w:pPr>
          <w:hyperlink w:anchor="_Toc67035850" w:history="1">
            <w:r w:rsidR="00AA1EFE" w:rsidRPr="00557D32">
              <w:rPr>
                <w:rStyle w:val="Hyperlink"/>
                <w:color w:val="000000" w:themeColor="text1"/>
              </w:rPr>
              <w:t>Promoting Early Supportive Relationships</w:t>
            </w:r>
            <w:r w:rsidR="00AA1EFE" w:rsidRPr="00557D32">
              <w:rPr>
                <w:webHidden/>
              </w:rPr>
              <w:tab/>
            </w:r>
            <w:r w:rsidR="00AA1EFE" w:rsidRPr="00557D32">
              <w:rPr>
                <w:webHidden/>
              </w:rPr>
              <w:fldChar w:fldCharType="begin"/>
            </w:r>
            <w:r w:rsidR="00AA1EFE" w:rsidRPr="00557D32">
              <w:rPr>
                <w:webHidden/>
              </w:rPr>
              <w:instrText xml:space="preserve"> PAGEREF _Toc67035850 \h </w:instrText>
            </w:r>
            <w:r w:rsidR="00AA1EFE" w:rsidRPr="00557D32">
              <w:rPr>
                <w:webHidden/>
              </w:rPr>
            </w:r>
            <w:r w:rsidR="00AA1EFE" w:rsidRPr="00557D32">
              <w:rPr>
                <w:webHidden/>
              </w:rPr>
              <w:fldChar w:fldCharType="separate"/>
            </w:r>
            <w:r w:rsidR="00D52136">
              <w:rPr>
                <w:webHidden/>
              </w:rPr>
              <w:t>30</w:t>
            </w:r>
            <w:r w:rsidR="00AA1EFE" w:rsidRPr="00557D32">
              <w:rPr>
                <w:webHidden/>
              </w:rPr>
              <w:fldChar w:fldCharType="end"/>
            </w:r>
          </w:hyperlink>
        </w:p>
        <w:p w14:paraId="230CD692" w14:textId="69B7BFE5" w:rsidR="00AA1EFE" w:rsidRDefault="00932B2F" w:rsidP="00B342D0">
          <w:pPr>
            <w:pStyle w:val="TOC2"/>
            <w:rPr>
              <w:rFonts w:eastAsiaTheme="minorEastAsia" w:cstheme="minorBidi"/>
              <w:color w:val="auto"/>
              <w:sz w:val="24"/>
              <w:szCs w:val="24"/>
              <w:lang w:val="en-GB" w:eastAsia="en-GB"/>
            </w:rPr>
          </w:pPr>
          <w:hyperlink w:anchor="_Toc67035851" w:history="1">
            <w:r w:rsidR="00AA1EFE" w:rsidRPr="00102185">
              <w:rPr>
                <w:rStyle w:val="Hyperlink"/>
              </w:rPr>
              <w:t>Education for Behaviour Change</w:t>
            </w:r>
            <w:r w:rsidR="00AA1EFE">
              <w:rPr>
                <w:webHidden/>
              </w:rPr>
              <w:tab/>
            </w:r>
            <w:r w:rsidR="00AA1EFE">
              <w:rPr>
                <w:webHidden/>
              </w:rPr>
              <w:fldChar w:fldCharType="begin"/>
            </w:r>
            <w:r w:rsidR="00AA1EFE">
              <w:rPr>
                <w:webHidden/>
              </w:rPr>
              <w:instrText xml:space="preserve"> PAGEREF _Toc67035851 \h </w:instrText>
            </w:r>
            <w:r w:rsidR="00AA1EFE">
              <w:rPr>
                <w:webHidden/>
              </w:rPr>
            </w:r>
            <w:r w:rsidR="00AA1EFE">
              <w:rPr>
                <w:webHidden/>
              </w:rPr>
              <w:fldChar w:fldCharType="separate"/>
            </w:r>
            <w:r w:rsidR="00D52136">
              <w:rPr>
                <w:webHidden/>
              </w:rPr>
              <w:t>34</w:t>
            </w:r>
            <w:r w:rsidR="00AA1EFE">
              <w:rPr>
                <w:webHidden/>
              </w:rPr>
              <w:fldChar w:fldCharType="end"/>
            </w:r>
          </w:hyperlink>
        </w:p>
        <w:p w14:paraId="3E906326" w14:textId="73085ACB" w:rsidR="00AA1EFE" w:rsidRDefault="00932B2F" w:rsidP="00B342D0">
          <w:pPr>
            <w:pStyle w:val="TOC2"/>
            <w:rPr>
              <w:rFonts w:eastAsiaTheme="minorEastAsia" w:cstheme="minorBidi"/>
              <w:color w:val="auto"/>
              <w:sz w:val="24"/>
              <w:szCs w:val="24"/>
              <w:lang w:val="en-GB" w:eastAsia="en-GB"/>
            </w:rPr>
          </w:pPr>
          <w:hyperlink w:anchor="_Toc67035852" w:history="1">
            <w:r w:rsidR="00AA1EFE" w:rsidRPr="00102185">
              <w:rPr>
                <w:rStyle w:val="Hyperlink"/>
              </w:rPr>
              <w:t>Safe Environments</w:t>
            </w:r>
            <w:r w:rsidR="00AA1EFE">
              <w:rPr>
                <w:webHidden/>
              </w:rPr>
              <w:tab/>
            </w:r>
            <w:r w:rsidR="00AA1EFE">
              <w:rPr>
                <w:webHidden/>
              </w:rPr>
              <w:fldChar w:fldCharType="begin"/>
            </w:r>
            <w:r w:rsidR="00AA1EFE">
              <w:rPr>
                <w:webHidden/>
              </w:rPr>
              <w:instrText xml:space="preserve"> PAGEREF _Toc67035852 \h </w:instrText>
            </w:r>
            <w:r w:rsidR="00AA1EFE">
              <w:rPr>
                <w:webHidden/>
              </w:rPr>
            </w:r>
            <w:r w:rsidR="00AA1EFE">
              <w:rPr>
                <w:webHidden/>
              </w:rPr>
              <w:fldChar w:fldCharType="separate"/>
            </w:r>
            <w:r w:rsidR="00D52136">
              <w:rPr>
                <w:webHidden/>
              </w:rPr>
              <w:t>38</w:t>
            </w:r>
            <w:r w:rsidR="00AA1EFE">
              <w:rPr>
                <w:webHidden/>
              </w:rPr>
              <w:fldChar w:fldCharType="end"/>
            </w:r>
          </w:hyperlink>
        </w:p>
        <w:p w14:paraId="443886EA" w14:textId="359122BE" w:rsidR="00AA1EFE" w:rsidRDefault="00932B2F" w:rsidP="00B342D0">
          <w:pPr>
            <w:pStyle w:val="TOC2"/>
            <w:rPr>
              <w:rFonts w:eastAsiaTheme="minorEastAsia" w:cstheme="minorBidi"/>
              <w:color w:val="auto"/>
              <w:sz w:val="24"/>
              <w:szCs w:val="24"/>
              <w:lang w:val="en-GB" w:eastAsia="en-GB"/>
            </w:rPr>
          </w:pPr>
          <w:hyperlink w:anchor="_Toc67035853" w:history="1">
            <w:r w:rsidR="00AA1EFE" w:rsidRPr="00102185">
              <w:rPr>
                <w:rStyle w:val="Hyperlink"/>
              </w:rPr>
              <w:t>Transform Social Norms</w:t>
            </w:r>
            <w:r w:rsidR="00AA1EFE">
              <w:rPr>
                <w:webHidden/>
              </w:rPr>
              <w:tab/>
            </w:r>
            <w:r w:rsidR="00AA1EFE">
              <w:rPr>
                <w:webHidden/>
              </w:rPr>
              <w:fldChar w:fldCharType="begin"/>
            </w:r>
            <w:r w:rsidR="00AA1EFE">
              <w:rPr>
                <w:webHidden/>
              </w:rPr>
              <w:instrText xml:space="preserve"> PAGEREF _Toc67035853 \h </w:instrText>
            </w:r>
            <w:r w:rsidR="00AA1EFE">
              <w:rPr>
                <w:webHidden/>
              </w:rPr>
            </w:r>
            <w:r w:rsidR="00AA1EFE">
              <w:rPr>
                <w:webHidden/>
              </w:rPr>
              <w:fldChar w:fldCharType="separate"/>
            </w:r>
            <w:r w:rsidR="00D52136">
              <w:rPr>
                <w:webHidden/>
              </w:rPr>
              <w:t>42</w:t>
            </w:r>
            <w:r w:rsidR="00AA1EFE">
              <w:rPr>
                <w:webHidden/>
              </w:rPr>
              <w:fldChar w:fldCharType="end"/>
            </w:r>
          </w:hyperlink>
        </w:p>
        <w:p w14:paraId="479C9E3E" w14:textId="47C871BC" w:rsidR="00AA1EFE" w:rsidRDefault="009650EF" w:rsidP="00B342D0">
          <w:pPr>
            <w:pStyle w:val="TOC2"/>
            <w:rPr>
              <w:rFonts w:eastAsiaTheme="minorEastAsia" w:cstheme="minorBidi"/>
              <w:color w:val="auto"/>
              <w:sz w:val="24"/>
              <w:szCs w:val="24"/>
              <w:lang w:val="en-GB" w:eastAsia="en-GB"/>
            </w:rPr>
          </w:pPr>
          <w:hyperlink w:anchor="_Toc67035854" w:history="1">
            <w:r w:rsidR="00AA1EFE" w:rsidRPr="00102185">
              <w:rPr>
                <w:rStyle w:val="Hyperlink"/>
              </w:rPr>
              <w:t>Policy and Reform</w:t>
            </w:r>
            <w:r w:rsidR="00AA1EFE">
              <w:rPr>
                <w:webHidden/>
              </w:rPr>
              <w:tab/>
            </w:r>
            <w:r w:rsidR="00AA1EFE">
              <w:rPr>
                <w:webHidden/>
              </w:rPr>
              <w:fldChar w:fldCharType="begin"/>
            </w:r>
            <w:r w:rsidR="00AA1EFE">
              <w:rPr>
                <w:webHidden/>
              </w:rPr>
              <w:instrText xml:space="preserve"> PAGEREF _Toc67035854 \h </w:instrText>
            </w:r>
            <w:r w:rsidR="00AA1EFE">
              <w:rPr>
                <w:webHidden/>
              </w:rPr>
            </w:r>
            <w:r w:rsidR="00AA1EFE">
              <w:rPr>
                <w:webHidden/>
              </w:rPr>
              <w:fldChar w:fldCharType="separate"/>
            </w:r>
            <w:r w:rsidR="00D52136">
              <w:rPr>
                <w:webHidden/>
              </w:rPr>
              <w:t>46</w:t>
            </w:r>
            <w:r w:rsidR="00AA1EFE">
              <w:rPr>
                <w:webHidden/>
              </w:rPr>
              <w:fldChar w:fldCharType="end"/>
            </w:r>
          </w:hyperlink>
        </w:p>
        <w:p w14:paraId="5E6F8531" w14:textId="344F211B" w:rsidR="00AA1EFE" w:rsidRDefault="00932B2F" w:rsidP="00B342D0">
          <w:pPr>
            <w:pStyle w:val="TOC1"/>
            <w:rPr>
              <w:rFonts w:asciiTheme="minorHAnsi" w:eastAsiaTheme="minorEastAsia" w:hAnsiTheme="minorHAnsi" w:cstheme="minorBidi"/>
              <w:color w:val="auto"/>
              <w:sz w:val="24"/>
              <w:szCs w:val="24"/>
              <w:lang w:val="en-GB" w:eastAsia="en-GB" w:bidi="ar-SA"/>
            </w:rPr>
          </w:pPr>
          <w:hyperlink w:anchor="_Toc67035855" w:history="1">
            <w:r w:rsidR="00AA1EFE" w:rsidRPr="00102185">
              <w:rPr>
                <w:rStyle w:val="Hyperlink"/>
              </w:rPr>
              <w:t>Conclusion</w:t>
            </w:r>
            <w:r w:rsidR="00AA1EFE">
              <w:rPr>
                <w:webHidden/>
              </w:rPr>
              <w:tab/>
            </w:r>
            <w:r w:rsidR="00AA1EFE">
              <w:rPr>
                <w:webHidden/>
              </w:rPr>
              <w:fldChar w:fldCharType="begin"/>
            </w:r>
            <w:r w:rsidR="00AA1EFE">
              <w:rPr>
                <w:webHidden/>
              </w:rPr>
              <w:instrText xml:space="preserve"> PAGEREF _Toc67035855 \h </w:instrText>
            </w:r>
            <w:r w:rsidR="00AA1EFE">
              <w:rPr>
                <w:webHidden/>
              </w:rPr>
            </w:r>
            <w:r w:rsidR="00AA1EFE">
              <w:rPr>
                <w:webHidden/>
              </w:rPr>
              <w:fldChar w:fldCharType="separate"/>
            </w:r>
            <w:r w:rsidR="00D52136">
              <w:rPr>
                <w:webHidden/>
              </w:rPr>
              <w:t>49</w:t>
            </w:r>
            <w:r w:rsidR="00AA1EFE">
              <w:rPr>
                <w:webHidden/>
              </w:rPr>
              <w:fldChar w:fldCharType="end"/>
            </w:r>
          </w:hyperlink>
        </w:p>
        <w:p w14:paraId="77558C61" w14:textId="3B153358" w:rsidR="00AA1EFE" w:rsidRDefault="00932B2F" w:rsidP="00B342D0">
          <w:pPr>
            <w:pStyle w:val="TOC1"/>
            <w:rPr>
              <w:rFonts w:asciiTheme="minorHAnsi" w:eastAsiaTheme="minorEastAsia" w:hAnsiTheme="minorHAnsi" w:cstheme="minorBidi"/>
              <w:color w:val="auto"/>
              <w:sz w:val="24"/>
              <w:szCs w:val="24"/>
              <w:lang w:val="en-GB" w:eastAsia="en-GB" w:bidi="ar-SA"/>
            </w:rPr>
          </w:pPr>
          <w:hyperlink w:anchor="_Toc67035856" w:history="1">
            <w:r w:rsidR="00AA1EFE" w:rsidRPr="00102185">
              <w:rPr>
                <w:rStyle w:val="Hyperlink"/>
              </w:rPr>
              <w:t>Future Research Recommendations</w:t>
            </w:r>
            <w:r w:rsidR="00AA1EFE">
              <w:rPr>
                <w:webHidden/>
              </w:rPr>
              <w:tab/>
            </w:r>
            <w:r w:rsidR="00AA1EFE">
              <w:rPr>
                <w:webHidden/>
              </w:rPr>
              <w:fldChar w:fldCharType="begin"/>
            </w:r>
            <w:r w:rsidR="00AA1EFE">
              <w:rPr>
                <w:webHidden/>
              </w:rPr>
              <w:instrText xml:space="preserve"> PAGEREF _Toc67035856 \h </w:instrText>
            </w:r>
            <w:r w:rsidR="00AA1EFE">
              <w:rPr>
                <w:webHidden/>
              </w:rPr>
            </w:r>
            <w:r w:rsidR="00AA1EFE">
              <w:rPr>
                <w:webHidden/>
              </w:rPr>
              <w:fldChar w:fldCharType="separate"/>
            </w:r>
            <w:r w:rsidR="00D52136">
              <w:rPr>
                <w:webHidden/>
              </w:rPr>
              <w:t>50</w:t>
            </w:r>
            <w:r w:rsidR="00AA1EFE">
              <w:rPr>
                <w:webHidden/>
              </w:rPr>
              <w:fldChar w:fldCharType="end"/>
            </w:r>
          </w:hyperlink>
        </w:p>
        <w:p w14:paraId="27F74E70" w14:textId="058C3A0D" w:rsidR="00AA1EFE" w:rsidRDefault="00932B2F" w:rsidP="00B342D0">
          <w:pPr>
            <w:pStyle w:val="TOC1"/>
            <w:rPr>
              <w:rFonts w:asciiTheme="minorHAnsi" w:eastAsiaTheme="minorEastAsia" w:hAnsiTheme="minorHAnsi" w:cstheme="minorBidi"/>
              <w:color w:val="auto"/>
              <w:sz w:val="24"/>
              <w:szCs w:val="24"/>
              <w:lang w:val="en-GB" w:eastAsia="en-GB" w:bidi="ar-SA"/>
            </w:rPr>
          </w:pPr>
          <w:hyperlink w:anchor="_Toc67035857" w:history="1">
            <w:r w:rsidR="00AA1EFE" w:rsidRPr="00102185">
              <w:rPr>
                <w:rStyle w:val="Hyperlink"/>
              </w:rPr>
              <w:t>Appendices</w:t>
            </w:r>
            <w:r w:rsidR="00AA1EFE">
              <w:rPr>
                <w:webHidden/>
              </w:rPr>
              <w:tab/>
            </w:r>
            <w:r w:rsidR="00AA1EFE">
              <w:rPr>
                <w:webHidden/>
              </w:rPr>
              <w:fldChar w:fldCharType="begin"/>
            </w:r>
            <w:r w:rsidR="00AA1EFE">
              <w:rPr>
                <w:webHidden/>
              </w:rPr>
              <w:instrText xml:space="preserve"> PAGEREF _Toc67035857 \h </w:instrText>
            </w:r>
            <w:r w:rsidR="00AA1EFE">
              <w:rPr>
                <w:webHidden/>
              </w:rPr>
            </w:r>
            <w:r w:rsidR="00AA1EFE">
              <w:rPr>
                <w:webHidden/>
              </w:rPr>
              <w:fldChar w:fldCharType="separate"/>
            </w:r>
            <w:r w:rsidR="00D52136">
              <w:rPr>
                <w:webHidden/>
              </w:rPr>
              <w:t>52</w:t>
            </w:r>
            <w:r w:rsidR="00AA1EFE">
              <w:rPr>
                <w:webHidden/>
              </w:rPr>
              <w:fldChar w:fldCharType="end"/>
            </w:r>
          </w:hyperlink>
        </w:p>
        <w:p w14:paraId="5588F96D" w14:textId="18A5D538" w:rsidR="00AA1EFE" w:rsidRDefault="00932B2F" w:rsidP="00B342D0">
          <w:pPr>
            <w:pStyle w:val="TOC2"/>
            <w:rPr>
              <w:rFonts w:eastAsiaTheme="minorEastAsia" w:cstheme="minorBidi"/>
              <w:color w:val="auto"/>
              <w:sz w:val="24"/>
              <w:szCs w:val="24"/>
              <w:lang w:val="en-GB" w:eastAsia="en-GB"/>
            </w:rPr>
          </w:pPr>
          <w:hyperlink w:anchor="_Toc67035858" w:history="1">
            <w:r w:rsidR="00AA1EFE" w:rsidRPr="00102185">
              <w:rPr>
                <w:rStyle w:val="Hyperlink"/>
                <w:lang w:bidi="en-US"/>
              </w:rPr>
              <w:t>Appendix I – Gendered Drivers and Reinforcing Factors</w:t>
            </w:r>
            <w:r w:rsidR="00AA1EFE">
              <w:rPr>
                <w:webHidden/>
              </w:rPr>
              <w:tab/>
            </w:r>
            <w:r w:rsidR="00AA1EFE">
              <w:rPr>
                <w:webHidden/>
              </w:rPr>
              <w:fldChar w:fldCharType="begin"/>
            </w:r>
            <w:r w:rsidR="00AA1EFE">
              <w:rPr>
                <w:webHidden/>
              </w:rPr>
              <w:instrText xml:space="preserve"> PAGEREF _Toc67035858 \h </w:instrText>
            </w:r>
            <w:r w:rsidR="00AA1EFE">
              <w:rPr>
                <w:webHidden/>
              </w:rPr>
            </w:r>
            <w:r w:rsidR="00AA1EFE">
              <w:rPr>
                <w:webHidden/>
              </w:rPr>
              <w:fldChar w:fldCharType="separate"/>
            </w:r>
            <w:r w:rsidR="00D52136">
              <w:rPr>
                <w:webHidden/>
              </w:rPr>
              <w:t>52</w:t>
            </w:r>
            <w:r w:rsidR="00AA1EFE">
              <w:rPr>
                <w:webHidden/>
              </w:rPr>
              <w:fldChar w:fldCharType="end"/>
            </w:r>
          </w:hyperlink>
        </w:p>
        <w:p w14:paraId="02D5A32B" w14:textId="494A2CB8" w:rsidR="00AA1EFE" w:rsidRDefault="00932B2F" w:rsidP="00B342D0">
          <w:pPr>
            <w:pStyle w:val="TOC1"/>
            <w:rPr>
              <w:rFonts w:asciiTheme="minorHAnsi" w:eastAsiaTheme="minorEastAsia" w:hAnsiTheme="minorHAnsi" w:cstheme="minorBidi"/>
              <w:color w:val="auto"/>
              <w:sz w:val="24"/>
              <w:szCs w:val="24"/>
              <w:lang w:val="en-GB" w:eastAsia="en-GB" w:bidi="ar-SA"/>
            </w:rPr>
          </w:pPr>
          <w:hyperlink w:anchor="_Toc67035859" w:history="1">
            <w:r w:rsidR="00AA1EFE" w:rsidRPr="00102185">
              <w:rPr>
                <w:rStyle w:val="Hyperlink"/>
              </w:rPr>
              <w:t>References</w:t>
            </w:r>
            <w:r w:rsidR="00AA1EFE">
              <w:rPr>
                <w:webHidden/>
              </w:rPr>
              <w:tab/>
            </w:r>
            <w:r w:rsidR="00AA1EFE">
              <w:rPr>
                <w:webHidden/>
              </w:rPr>
              <w:fldChar w:fldCharType="begin"/>
            </w:r>
            <w:r w:rsidR="00AA1EFE">
              <w:rPr>
                <w:webHidden/>
              </w:rPr>
              <w:instrText xml:space="preserve"> PAGEREF _Toc67035859 \h </w:instrText>
            </w:r>
            <w:r w:rsidR="00AA1EFE">
              <w:rPr>
                <w:webHidden/>
              </w:rPr>
            </w:r>
            <w:r w:rsidR="00AA1EFE">
              <w:rPr>
                <w:webHidden/>
              </w:rPr>
              <w:fldChar w:fldCharType="separate"/>
            </w:r>
            <w:r w:rsidR="00D52136">
              <w:rPr>
                <w:webHidden/>
              </w:rPr>
              <w:t>53</w:t>
            </w:r>
            <w:r w:rsidR="00AA1EFE">
              <w:rPr>
                <w:webHidden/>
              </w:rPr>
              <w:fldChar w:fldCharType="end"/>
            </w:r>
          </w:hyperlink>
        </w:p>
        <w:p w14:paraId="68F784FA" w14:textId="0401EF99" w:rsidR="00227124" w:rsidRDefault="006A3E43" w:rsidP="00DE06E1">
          <w:r w:rsidRPr="00324D17">
            <w:rPr>
              <w:b/>
              <w:bCs/>
              <w:noProof/>
              <w:sz w:val="24"/>
              <w:szCs w:val="24"/>
            </w:rPr>
            <w:fldChar w:fldCharType="end"/>
          </w:r>
        </w:p>
      </w:sdtContent>
    </w:sdt>
    <w:p w14:paraId="57041106" w14:textId="77777777" w:rsidR="000D2AD7" w:rsidRDefault="000D2AD7">
      <w:pPr>
        <w:spacing w:after="0" w:line="240" w:lineRule="auto"/>
        <w:rPr>
          <w:rFonts w:cs="Arial"/>
          <w:b/>
          <w:bCs/>
          <w:caps/>
          <w:color w:val="EE3124" w:themeColor="accent6"/>
          <w:sz w:val="28"/>
          <w:szCs w:val="28"/>
          <w:lang w:val="en-GB"/>
        </w:rPr>
      </w:pPr>
      <w:r>
        <w:br w:type="page"/>
      </w:r>
    </w:p>
    <w:p w14:paraId="08DCDFAF" w14:textId="2E9CF8DD" w:rsidR="0044529C" w:rsidRDefault="00986EC9" w:rsidP="0038598D">
      <w:pPr>
        <w:pStyle w:val="LTU-Subhead1"/>
      </w:pPr>
      <w:r>
        <w:lastRenderedPageBreak/>
        <w:t>List</w:t>
      </w:r>
      <w:r w:rsidR="0044529C">
        <w:t xml:space="preserve"> of Figures</w:t>
      </w:r>
    </w:p>
    <w:p w14:paraId="581964B2" w14:textId="780F2E02" w:rsidR="00324D17" w:rsidRPr="004F026E" w:rsidRDefault="0044529C">
      <w:pPr>
        <w:pStyle w:val="TableofFigures"/>
        <w:tabs>
          <w:tab w:val="right" w:leader="dot" w:pos="9769"/>
        </w:tabs>
        <w:rPr>
          <w:rFonts w:eastAsiaTheme="minorEastAsia" w:cstheme="minorBidi"/>
          <w:noProof/>
          <w:sz w:val="18"/>
          <w:lang w:eastAsia="en-AU"/>
        </w:rPr>
      </w:pPr>
      <w:r w:rsidRPr="00324D17">
        <w:rPr>
          <w:sz w:val="24"/>
          <w:szCs w:val="24"/>
        </w:rPr>
        <w:fldChar w:fldCharType="begin"/>
      </w:r>
      <w:r w:rsidRPr="00324D17">
        <w:rPr>
          <w:sz w:val="24"/>
          <w:szCs w:val="24"/>
        </w:rPr>
        <w:instrText xml:space="preserve"> TOC \h \z \c "Figure" </w:instrText>
      </w:r>
      <w:r w:rsidRPr="00324D17">
        <w:rPr>
          <w:sz w:val="24"/>
          <w:szCs w:val="24"/>
        </w:rPr>
        <w:fldChar w:fldCharType="separate"/>
      </w:r>
      <w:hyperlink r:id="rId16" w:anchor="_Toc65156127" w:history="1">
        <w:r w:rsidR="00324D17" w:rsidRPr="004F026E">
          <w:rPr>
            <w:rStyle w:val="Hyperlink"/>
            <w:noProof/>
            <w:sz w:val="18"/>
          </w:rPr>
          <w:t xml:space="preserve">Figure 1 - Theory of Change </w:t>
        </w:r>
        <w:r w:rsidR="00324D17" w:rsidRPr="004F026E">
          <w:rPr>
            <w:noProof/>
            <w:webHidden/>
            <w:sz w:val="18"/>
          </w:rPr>
          <w:tab/>
        </w:r>
        <w:r w:rsidR="00324D17" w:rsidRPr="004F026E">
          <w:rPr>
            <w:noProof/>
            <w:webHidden/>
            <w:sz w:val="18"/>
          </w:rPr>
          <w:fldChar w:fldCharType="begin"/>
        </w:r>
        <w:r w:rsidR="00324D17" w:rsidRPr="004F026E">
          <w:rPr>
            <w:noProof/>
            <w:webHidden/>
            <w:sz w:val="18"/>
          </w:rPr>
          <w:instrText xml:space="preserve"> PAGEREF _Toc65156127 \h </w:instrText>
        </w:r>
        <w:r w:rsidR="00324D17" w:rsidRPr="004F026E">
          <w:rPr>
            <w:noProof/>
            <w:webHidden/>
            <w:sz w:val="18"/>
          </w:rPr>
        </w:r>
        <w:r w:rsidR="00324D17" w:rsidRPr="004F026E">
          <w:rPr>
            <w:noProof/>
            <w:webHidden/>
            <w:sz w:val="18"/>
          </w:rPr>
          <w:fldChar w:fldCharType="separate"/>
        </w:r>
        <w:r w:rsidR="00D52136">
          <w:rPr>
            <w:noProof/>
            <w:webHidden/>
            <w:sz w:val="18"/>
          </w:rPr>
          <w:t>27</w:t>
        </w:r>
        <w:r w:rsidR="00324D17" w:rsidRPr="004F026E">
          <w:rPr>
            <w:noProof/>
            <w:webHidden/>
            <w:sz w:val="18"/>
          </w:rPr>
          <w:fldChar w:fldCharType="end"/>
        </w:r>
      </w:hyperlink>
    </w:p>
    <w:p w14:paraId="5ED28522" w14:textId="04C189F7" w:rsidR="00324D17" w:rsidRPr="004F026E" w:rsidRDefault="00932B2F">
      <w:pPr>
        <w:pStyle w:val="TableofFigures"/>
        <w:tabs>
          <w:tab w:val="right" w:leader="dot" w:pos="9769"/>
        </w:tabs>
        <w:rPr>
          <w:rFonts w:eastAsiaTheme="minorEastAsia" w:cstheme="minorBidi"/>
          <w:noProof/>
          <w:sz w:val="18"/>
          <w:lang w:eastAsia="en-AU"/>
        </w:rPr>
      </w:pPr>
      <w:hyperlink r:id="rId17" w:anchor="_Toc65156129" w:history="1">
        <w:r w:rsidR="00324D17" w:rsidRPr="004F026E">
          <w:rPr>
            <w:rStyle w:val="Hyperlink"/>
            <w:noProof/>
            <w:sz w:val="18"/>
          </w:rPr>
          <w:t xml:space="preserve">Figure </w:t>
        </w:r>
        <w:r w:rsidR="00FA1635" w:rsidRPr="004F026E">
          <w:rPr>
            <w:rStyle w:val="Hyperlink"/>
            <w:noProof/>
            <w:sz w:val="18"/>
          </w:rPr>
          <w:t>2</w:t>
        </w:r>
        <w:r w:rsidR="00324D17" w:rsidRPr="004F026E">
          <w:rPr>
            <w:rStyle w:val="Hyperlink"/>
            <w:noProof/>
            <w:sz w:val="18"/>
          </w:rPr>
          <w:t xml:space="preserve"> - Early supportive relationships</w:t>
        </w:r>
        <w:r w:rsidR="00324D17" w:rsidRPr="004F026E">
          <w:rPr>
            <w:noProof/>
            <w:webHidden/>
            <w:sz w:val="18"/>
          </w:rPr>
          <w:tab/>
        </w:r>
        <w:r w:rsidR="00324D17" w:rsidRPr="004F026E">
          <w:rPr>
            <w:noProof/>
            <w:webHidden/>
            <w:sz w:val="18"/>
          </w:rPr>
          <w:fldChar w:fldCharType="begin"/>
        </w:r>
        <w:r w:rsidR="00324D17" w:rsidRPr="004F026E">
          <w:rPr>
            <w:noProof/>
            <w:webHidden/>
            <w:sz w:val="18"/>
          </w:rPr>
          <w:instrText xml:space="preserve"> PAGEREF _Toc65156129 \h </w:instrText>
        </w:r>
        <w:r w:rsidR="00324D17" w:rsidRPr="004F026E">
          <w:rPr>
            <w:noProof/>
            <w:webHidden/>
            <w:sz w:val="18"/>
          </w:rPr>
        </w:r>
        <w:r w:rsidR="00324D17" w:rsidRPr="004F026E">
          <w:rPr>
            <w:noProof/>
            <w:webHidden/>
            <w:sz w:val="18"/>
          </w:rPr>
          <w:fldChar w:fldCharType="separate"/>
        </w:r>
        <w:r w:rsidR="00D52136">
          <w:rPr>
            <w:noProof/>
            <w:webHidden/>
            <w:sz w:val="18"/>
          </w:rPr>
          <w:t>29</w:t>
        </w:r>
        <w:r w:rsidR="00324D17" w:rsidRPr="004F026E">
          <w:rPr>
            <w:noProof/>
            <w:webHidden/>
            <w:sz w:val="18"/>
          </w:rPr>
          <w:fldChar w:fldCharType="end"/>
        </w:r>
      </w:hyperlink>
    </w:p>
    <w:p w14:paraId="4D4A64C2" w14:textId="5F02A8FA" w:rsidR="00324D17" w:rsidRPr="004F026E" w:rsidRDefault="00932B2F">
      <w:pPr>
        <w:pStyle w:val="TableofFigures"/>
        <w:tabs>
          <w:tab w:val="right" w:leader="dot" w:pos="9769"/>
        </w:tabs>
        <w:rPr>
          <w:rFonts w:eastAsiaTheme="minorEastAsia" w:cstheme="minorBidi"/>
          <w:noProof/>
          <w:sz w:val="18"/>
          <w:lang w:eastAsia="en-AU"/>
        </w:rPr>
      </w:pPr>
      <w:hyperlink r:id="rId18" w:anchor="_Toc65156130" w:history="1">
        <w:r w:rsidR="00324D17" w:rsidRPr="004F026E">
          <w:rPr>
            <w:rStyle w:val="Hyperlink"/>
            <w:noProof/>
            <w:sz w:val="18"/>
          </w:rPr>
          <w:t xml:space="preserve">Figure </w:t>
        </w:r>
        <w:r w:rsidR="002423D7" w:rsidRPr="004F026E">
          <w:rPr>
            <w:rStyle w:val="Hyperlink"/>
            <w:noProof/>
            <w:sz w:val="18"/>
          </w:rPr>
          <w:t>3</w:t>
        </w:r>
        <w:r w:rsidR="00324D17" w:rsidRPr="004F026E">
          <w:rPr>
            <w:rStyle w:val="Hyperlink"/>
            <w:noProof/>
            <w:sz w:val="18"/>
          </w:rPr>
          <w:t xml:space="preserve"> - Education for behaviour change</w:t>
        </w:r>
        <w:r w:rsidR="00324D17" w:rsidRPr="004F026E">
          <w:rPr>
            <w:noProof/>
            <w:webHidden/>
            <w:sz w:val="18"/>
          </w:rPr>
          <w:tab/>
        </w:r>
        <w:r w:rsidR="00324D17" w:rsidRPr="004F026E">
          <w:rPr>
            <w:noProof/>
            <w:webHidden/>
            <w:sz w:val="18"/>
          </w:rPr>
          <w:fldChar w:fldCharType="begin"/>
        </w:r>
        <w:r w:rsidR="00324D17" w:rsidRPr="004F026E">
          <w:rPr>
            <w:noProof/>
            <w:webHidden/>
            <w:sz w:val="18"/>
          </w:rPr>
          <w:instrText xml:space="preserve"> PAGEREF _Toc65156130 \h </w:instrText>
        </w:r>
        <w:r w:rsidR="00324D17" w:rsidRPr="004F026E">
          <w:rPr>
            <w:noProof/>
            <w:webHidden/>
            <w:sz w:val="18"/>
          </w:rPr>
        </w:r>
        <w:r w:rsidR="00324D17" w:rsidRPr="004F026E">
          <w:rPr>
            <w:noProof/>
            <w:webHidden/>
            <w:sz w:val="18"/>
          </w:rPr>
          <w:fldChar w:fldCharType="separate"/>
        </w:r>
        <w:r w:rsidR="00D52136">
          <w:rPr>
            <w:noProof/>
            <w:webHidden/>
            <w:sz w:val="18"/>
          </w:rPr>
          <w:t>33</w:t>
        </w:r>
        <w:r w:rsidR="00324D17" w:rsidRPr="004F026E">
          <w:rPr>
            <w:noProof/>
            <w:webHidden/>
            <w:sz w:val="18"/>
          </w:rPr>
          <w:fldChar w:fldCharType="end"/>
        </w:r>
      </w:hyperlink>
    </w:p>
    <w:p w14:paraId="3A084689" w14:textId="1F7B54F2" w:rsidR="00324D17" w:rsidRPr="004F026E" w:rsidRDefault="00932B2F">
      <w:pPr>
        <w:pStyle w:val="TableofFigures"/>
        <w:tabs>
          <w:tab w:val="right" w:leader="dot" w:pos="9769"/>
        </w:tabs>
        <w:rPr>
          <w:rFonts w:eastAsiaTheme="minorEastAsia" w:cstheme="minorBidi"/>
          <w:noProof/>
          <w:sz w:val="18"/>
          <w:lang w:eastAsia="en-AU"/>
        </w:rPr>
      </w:pPr>
      <w:hyperlink r:id="rId19" w:anchor="_Toc65156131" w:history="1">
        <w:r w:rsidR="00324D17" w:rsidRPr="004F026E">
          <w:rPr>
            <w:rStyle w:val="Hyperlink"/>
            <w:noProof/>
            <w:sz w:val="18"/>
          </w:rPr>
          <w:t xml:space="preserve">Figure </w:t>
        </w:r>
        <w:r w:rsidR="002423D7" w:rsidRPr="004F026E">
          <w:rPr>
            <w:rStyle w:val="Hyperlink"/>
            <w:noProof/>
            <w:sz w:val="18"/>
          </w:rPr>
          <w:t>4</w:t>
        </w:r>
        <w:r w:rsidR="00324D17" w:rsidRPr="004F026E">
          <w:rPr>
            <w:rStyle w:val="Hyperlink"/>
            <w:noProof/>
            <w:sz w:val="18"/>
          </w:rPr>
          <w:t xml:space="preserve"> - Safe environments</w:t>
        </w:r>
        <w:r w:rsidR="00324D17" w:rsidRPr="004F026E">
          <w:rPr>
            <w:noProof/>
            <w:webHidden/>
            <w:sz w:val="18"/>
          </w:rPr>
          <w:tab/>
        </w:r>
        <w:r w:rsidR="00324D17" w:rsidRPr="004F026E">
          <w:rPr>
            <w:noProof/>
            <w:webHidden/>
            <w:sz w:val="18"/>
          </w:rPr>
          <w:fldChar w:fldCharType="begin"/>
        </w:r>
        <w:r w:rsidR="00324D17" w:rsidRPr="004F026E">
          <w:rPr>
            <w:noProof/>
            <w:webHidden/>
            <w:sz w:val="18"/>
          </w:rPr>
          <w:instrText xml:space="preserve"> PAGEREF _Toc65156131 \h </w:instrText>
        </w:r>
        <w:r w:rsidR="00324D17" w:rsidRPr="004F026E">
          <w:rPr>
            <w:noProof/>
            <w:webHidden/>
            <w:sz w:val="18"/>
          </w:rPr>
        </w:r>
        <w:r w:rsidR="00324D17" w:rsidRPr="004F026E">
          <w:rPr>
            <w:noProof/>
            <w:webHidden/>
            <w:sz w:val="18"/>
          </w:rPr>
          <w:fldChar w:fldCharType="separate"/>
        </w:r>
        <w:r w:rsidR="00D52136">
          <w:rPr>
            <w:noProof/>
            <w:webHidden/>
            <w:sz w:val="18"/>
          </w:rPr>
          <w:t>37</w:t>
        </w:r>
        <w:r w:rsidR="00324D17" w:rsidRPr="004F026E">
          <w:rPr>
            <w:noProof/>
            <w:webHidden/>
            <w:sz w:val="18"/>
          </w:rPr>
          <w:fldChar w:fldCharType="end"/>
        </w:r>
      </w:hyperlink>
    </w:p>
    <w:p w14:paraId="6A86CA5C" w14:textId="54F4253A" w:rsidR="00324D17" w:rsidRPr="004F026E" w:rsidRDefault="00932B2F">
      <w:pPr>
        <w:pStyle w:val="TableofFigures"/>
        <w:tabs>
          <w:tab w:val="right" w:leader="dot" w:pos="9769"/>
        </w:tabs>
        <w:rPr>
          <w:rFonts w:eastAsiaTheme="minorEastAsia" w:cstheme="minorBidi"/>
          <w:noProof/>
          <w:sz w:val="18"/>
          <w:lang w:eastAsia="en-AU"/>
        </w:rPr>
      </w:pPr>
      <w:hyperlink r:id="rId20" w:anchor="_Toc65156132" w:history="1">
        <w:r w:rsidR="00324D17" w:rsidRPr="004F026E">
          <w:rPr>
            <w:rStyle w:val="Hyperlink"/>
            <w:noProof/>
            <w:sz w:val="18"/>
          </w:rPr>
          <w:t xml:space="preserve">Figure </w:t>
        </w:r>
        <w:r w:rsidR="002423D7" w:rsidRPr="004F026E">
          <w:rPr>
            <w:rStyle w:val="Hyperlink"/>
            <w:noProof/>
            <w:sz w:val="18"/>
          </w:rPr>
          <w:t>5</w:t>
        </w:r>
        <w:r w:rsidR="00324D17" w:rsidRPr="004F026E">
          <w:rPr>
            <w:rStyle w:val="Hyperlink"/>
            <w:noProof/>
            <w:sz w:val="18"/>
          </w:rPr>
          <w:t xml:space="preserve"> - Transform social norms</w:t>
        </w:r>
        <w:r w:rsidR="00324D17" w:rsidRPr="004F026E">
          <w:rPr>
            <w:noProof/>
            <w:webHidden/>
            <w:sz w:val="18"/>
          </w:rPr>
          <w:tab/>
        </w:r>
        <w:r w:rsidR="00324D17" w:rsidRPr="004F026E">
          <w:rPr>
            <w:noProof/>
            <w:webHidden/>
            <w:sz w:val="18"/>
          </w:rPr>
          <w:fldChar w:fldCharType="begin"/>
        </w:r>
        <w:r w:rsidR="00324D17" w:rsidRPr="004F026E">
          <w:rPr>
            <w:noProof/>
            <w:webHidden/>
            <w:sz w:val="18"/>
          </w:rPr>
          <w:instrText xml:space="preserve"> PAGEREF _Toc65156132 \h </w:instrText>
        </w:r>
        <w:r w:rsidR="00324D17" w:rsidRPr="004F026E">
          <w:rPr>
            <w:noProof/>
            <w:webHidden/>
            <w:sz w:val="18"/>
          </w:rPr>
        </w:r>
        <w:r w:rsidR="00324D17" w:rsidRPr="004F026E">
          <w:rPr>
            <w:noProof/>
            <w:webHidden/>
            <w:sz w:val="18"/>
          </w:rPr>
          <w:fldChar w:fldCharType="separate"/>
        </w:r>
        <w:r w:rsidR="00D52136">
          <w:rPr>
            <w:noProof/>
            <w:webHidden/>
            <w:sz w:val="18"/>
          </w:rPr>
          <w:t>41</w:t>
        </w:r>
        <w:r w:rsidR="00324D17" w:rsidRPr="004F026E">
          <w:rPr>
            <w:noProof/>
            <w:webHidden/>
            <w:sz w:val="18"/>
          </w:rPr>
          <w:fldChar w:fldCharType="end"/>
        </w:r>
      </w:hyperlink>
    </w:p>
    <w:p w14:paraId="500E2E65" w14:textId="0E7A1CEC" w:rsidR="00324D17" w:rsidRPr="004F026E" w:rsidRDefault="00932B2F">
      <w:pPr>
        <w:pStyle w:val="TableofFigures"/>
        <w:tabs>
          <w:tab w:val="right" w:leader="dot" w:pos="9769"/>
        </w:tabs>
        <w:rPr>
          <w:rFonts w:eastAsiaTheme="minorEastAsia" w:cstheme="minorBidi"/>
          <w:noProof/>
          <w:sz w:val="18"/>
          <w:lang w:eastAsia="en-AU"/>
        </w:rPr>
      </w:pPr>
      <w:hyperlink w:anchor="_Toc65156133" w:history="1">
        <w:r w:rsidR="00324D17" w:rsidRPr="004F026E">
          <w:rPr>
            <w:rStyle w:val="Hyperlink"/>
            <w:noProof/>
            <w:sz w:val="18"/>
          </w:rPr>
          <w:t xml:space="preserve">Figure </w:t>
        </w:r>
        <w:r w:rsidR="002423D7" w:rsidRPr="004F026E">
          <w:rPr>
            <w:rStyle w:val="Hyperlink"/>
            <w:noProof/>
            <w:sz w:val="18"/>
          </w:rPr>
          <w:t>6</w:t>
        </w:r>
        <w:r w:rsidR="00324D17" w:rsidRPr="004F026E">
          <w:rPr>
            <w:rStyle w:val="Hyperlink"/>
            <w:noProof/>
            <w:sz w:val="18"/>
          </w:rPr>
          <w:t xml:space="preserve"> - Policy and reform</w:t>
        </w:r>
        <w:r w:rsidR="00324D17" w:rsidRPr="004F026E">
          <w:rPr>
            <w:noProof/>
            <w:webHidden/>
            <w:sz w:val="18"/>
          </w:rPr>
          <w:tab/>
        </w:r>
        <w:r w:rsidR="00324D17" w:rsidRPr="004F026E">
          <w:rPr>
            <w:noProof/>
            <w:webHidden/>
            <w:sz w:val="18"/>
          </w:rPr>
          <w:fldChar w:fldCharType="begin"/>
        </w:r>
        <w:r w:rsidR="00324D17" w:rsidRPr="004F026E">
          <w:rPr>
            <w:noProof/>
            <w:webHidden/>
            <w:sz w:val="18"/>
          </w:rPr>
          <w:instrText xml:space="preserve"> PAGEREF _Toc65156133 \h </w:instrText>
        </w:r>
        <w:r w:rsidR="00324D17" w:rsidRPr="004F026E">
          <w:rPr>
            <w:noProof/>
            <w:webHidden/>
            <w:sz w:val="18"/>
          </w:rPr>
        </w:r>
        <w:r w:rsidR="00324D17" w:rsidRPr="004F026E">
          <w:rPr>
            <w:noProof/>
            <w:webHidden/>
            <w:sz w:val="18"/>
          </w:rPr>
          <w:fldChar w:fldCharType="separate"/>
        </w:r>
        <w:r w:rsidR="00D52136">
          <w:rPr>
            <w:noProof/>
            <w:webHidden/>
            <w:sz w:val="18"/>
          </w:rPr>
          <w:t>45</w:t>
        </w:r>
        <w:r w:rsidR="00324D17" w:rsidRPr="004F026E">
          <w:rPr>
            <w:noProof/>
            <w:webHidden/>
            <w:sz w:val="18"/>
          </w:rPr>
          <w:fldChar w:fldCharType="end"/>
        </w:r>
      </w:hyperlink>
    </w:p>
    <w:p w14:paraId="7D32691C" w14:textId="7B170231" w:rsidR="0044529C" w:rsidRDefault="0044529C">
      <w:pPr>
        <w:spacing w:after="0" w:line="240" w:lineRule="auto"/>
      </w:pPr>
      <w:r w:rsidRPr="00324D17">
        <w:rPr>
          <w:sz w:val="24"/>
          <w:szCs w:val="24"/>
        </w:rPr>
        <w:fldChar w:fldCharType="end"/>
      </w:r>
    </w:p>
    <w:p w14:paraId="15002D74" w14:textId="2A54C255" w:rsidR="002D36F3" w:rsidRDefault="002D36F3">
      <w:pPr>
        <w:spacing w:after="0" w:line="240" w:lineRule="auto"/>
        <w:rPr>
          <w:rFonts w:eastAsia="MS Mincho" w:cs="Calibri"/>
          <w:color w:val="000000"/>
          <w:sz w:val="20"/>
          <w:szCs w:val="20"/>
          <w:lang w:val="en-GB" w:eastAsia="en-AU"/>
        </w:rPr>
      </w:pPr>
      <w:r>
        <w:br w:type="page"/>
      </w:r>
    </w:p>
    <w:p w14:paraId="344A8211" w14:textId="0A4BA93C" w:rsidR="00A045A8" w:rsidRDefault="002D36F3" w:rsidP="00E36091">
      <w:pPr>
        <w:pStyle w:val="LTU-Sectionheading"/>
      </w:pPr>
      <w:bookmarkStart w:id="19" w:name="_Toc67035829"/>
      <w:r>
        <w:lastRenderedPageBreak/>
        <w:t>Project Team Members</w:t>
      </w:r>
      <w:bookmarkEnd w:id="19"/>
    </w:p>
    <w:p w14:paraId="385BBA64" w14:textId="520DEBBF" w:rsidR="006A3E43" w:rsidRDefault="00827DB3" w:rsidP="000515E1">
      <w:pPr>
        <w:pStyle w:val="LTU-Subhead1"/>
      </w:pPr>
      <w:bookmarkStart w:id="20" w:name="_Toc67035830"/>
      <w:r>
        <w:t>Research Team</w:t>
      </w:r>
      <w:bookmarkEnd w:id="20"/>
    </w:p>
    <w:p w14:paraId="2A288334" w14:textId="138BAB3D" w:rsidR="005D380D" w:rsidRPr="00FC1F1E" w:rsidRDefault="007E56CF" w:rsidP="00FC1F1E">
      <w:pPr>
        <w:pStyle w:val="LTU-Bullets0pt"/>
        <w:rPr>
          <w:rFonts w:eastAsia="Calibri"/>
        </w:rPr>
      </w:pPr>
      <w:r w:rsidRPr="006A192A">
        <w:rPr>
          <w:rFonts w:eastAsia="Calibri"/>
        </w:rPr>
        <w:t xml:space="preserve">Dr </w:t>
      </w:r>
      <w:r>
        <w:rPr>
          <w:rFonts w:eastAsia="Calibri"/>
        </w:rPr>
        <w:t>Leesa Hooker</w:t>
      </w:r>
      <w:r w:rsidR="40BBF0B2" w:rsidRPr="47145F3E">
        <w:rPr>
          <w:rFonts w:eastAsia="Calibri"/>
        </w:rPr>
        <w:t xml:space="preserve">, </w:t>
      </w:r>
      <w:r w:rsidR="40BBF0B2" w:rsidRPr="0A4CFC9D">
        <w:rPr>
          <w:rFonts w:eastAsia="Calibri"/>
        </w:rPr>
        <w:t xml:space="preserve">Lead </w:t>
      </w:r>
      <w:r w:rsidR="40BBF0B2" w:rsidRPr="00FC1F1E">
        <w:rPr>
          <w:rFonts w:eastAsia="Calibri"/>
        </w:rPr>
        <w:t>Investigator</w:t>
      </w:r>
    </w:p>
    <w:p w14:paraId="1EB08B4B" w14:textId="39A25717" w:rsidR="005D380D" w:rsidRPr="00FC1F1E" w:rsidRDefault="004F026E" w:rsidP="00FC1F1E">
      <w:pPr>
        <w:pStyle w:val="LTU-Bullets0pt"/>
        <w:rPr>
          <w:rFonts w:eastAsia="Calibri"/>
        </w:rPr>
      </w:pPr>
      <w:r w:rsidRPr="00FC1F1E">
        <w:t xml:space="preserve">Dr </w:t>
      </w:r>
      <w:r w:rsidR="005D380D" w:rsidRPr="00FC1F1E">
        <w:t>Jess</w:t>
      </w:r>
      <w:r w:rsidRPr="00FC1F1E">
        <w:t>ica</w:t>
      </w:r>
      <w:r w:rsidR="005D380D" w:rsidRPr="00FC1F1E">
        <w:t xml:space="preserve"> Ison, Project Manager</w:t>
      </w:r>
    </w:p>
    <w:p w14:paraId="3AA03DB2" w14:textId="77777777" w:rsidR="0032048B" w:rsidRPr="00FC1F1E" w:rsidRDefault="0032048B" w:rsidP="00FC1F1E">
      <w:pPr>
        <w:pStyle w:val="LTU-Bullets0pt"/>
        <w:rPr>
          <w:rFonts w:eastAsia="Calibri"/>
        </w:rPr>
      </w:pPr>
      <w:r w:rsidRPr="00FC1F1E">
        <w:t>Associate Professor Nicola Henry, Investigator</w:t>
      </w:r>
    </w:p>
    <w:p w14:paraId="5B3E04C1" w14:textId="77777777" w:rsidR="00831EB8" w:rsidRPr="00FC1F1E" w:rsidRDefault="00831EB8" w:rsidP="00FC1F1E">
      <w:pPr>
        <w:pStyle w:val="LTU-Bullets0pt"/>
        <w:rPr>
          <w:rFonts w:eastAsia="Calibri"/>
        </w:rPr>
      </w:pPr>
      <w:r w:rsidRPr="00FC1F1E">
        <w:t>Associate Professor Christopher Fisher, Investigator</w:t>
      </w:r>
    </w:p>
    <w:p w14:paraId="5C91C477" w14:textId="77777777" w:rsidR="00713549" w:rsidRPr="00FC1F1E" w:rsidRDefault="00713549" w:rsidP="00FC1F1E">
      <w:pPr>
        <w:pStyle w:val="LTU-Bullets0pt"/>
        <w:rPr>
          <w:rFonts w:eastAsia="Calibri"/>
        </w:rPr>
      </w:pPr>
      <w:r w:rsidRPr="00FC1F1E">
        <w:t>Dr Kirsty Forsdike, Investigator</w:t>
      </w:r>
    </w:p>
    <w:p w14:paraId="6774962A" w14:textId="77777777" w:rsidR="0009362F" w:rsidRPr="00FC1F1E" w:rsidRDefault="0009362F" w:rsidP="00FC1F1E">
      <w:pPr>
        <w:pStyle w:val="LTU-Bullets0pt"/>
        <w:rPr>
          <w:rFonts w:eastAsia="Calibri"/>
        </w:rPr>
      </w:pPr>
      <w:r w:rsidRPr="00FC1F1E">
        <w:t>Felicity Young, Sector Consultation Manager</w:t>
      </w:r>
    </w:p>
    <w:p w14:paraId="2352CD71" w14:textId="33DCAABC" w:rsidR="0032048B" w:rsidRPr="00FC1F1E" w:rsidRDefault="008B06DE" w:rsidP="00FC1F1E">
      <w:pPr>
        <w:pStyle w:val="LTU-Bullets0pt"/>
        <w:rPr>
          <w:rFonts w:eastAsia="Calibri"/>
        </w:rPr>
      </w:pPr>
      <w:r w:rsidRPr="00FC1F1E">
        <w:rPr>
          <w:rFonts w:eastAsia="Calibri"/>
        </w:rPr>
        <w:t xml:space="preserve">Hannah </w:t>
      </w:r>
      <w:r w:rsidR="410FBB40" w:rsidRPr="00FC1F1E">
        <w:rPr>
          <w:rFonts w:eastAsia="Calibri"/>
        </w:rPr>
        <w:t>Korsmeyer</w:t>
      </w:r>
      <w:r w:rsidRPr="00FC1F1E">
        <w:rPr>
          <w:rFonts w:eastAsia="Calibri"/>
        </w:rPr>
        <w:t xml:space="preserve">, </w:t>
      </w:r>
      <w:r w:rsidR="00441AB7" w:rsidRPr="00FC1F1E">
        <w:rPr>
          <w:rFonts w:eastAsia="Calibri"/>
        </w:rPr>
        <w:t>Co-</w:t>
      </w:r>
      <w:r w:rsidRPr="00FC1F1E">
        <w:rPr>
          <w:rFonts w:eastAsia="Calibri"/>
        </w:rPr>
        <w:t>Design</w:t>
      </w:r>
    </w:p>
    <w:p w14:paraId="1B0B95F5" w14:textId="77777777" w:rsidR="00B916F1" w:rsidRPr="00FC1F1E" w:rsidRDefault="005D380D" w:rsidP="00FC1F1E">
      <w:pPr>
        <w:pStyle w:val="LTU-Bullets0pt"/>
        <w:rPr>
          <w:rFonts w:eastAsia="Calibri"/>
        </w:rPr>
      </w:pPr>
      <w:r w:rsidRPr="00FC1F1E">
        <w:t>Dr Grant O’Sullivan, Research Assistant</w:t>
      </w:r>
    </w:p>
    <w:p w14:paraId="10AE4713" w14:textId="520B6AC3" w:rsidR="005D380D" w:rsidRPr="00B916F1" w:rsidRDefault="005D380D" w:rsidP="00FC1F1E">
      <w:pPr>
        <w:pStyle w:val="LTU-Bullets0pt"/>
        <w:rPr>
          <w:rFonts w:eastAsia="Calibri"/>
        </w:rPr>
      </w:pPr>
      <w:r w:rsidRPr="00FC1F1E">
        <w:t>Professor Angela Taft, I</w:t>
      </w:r>
      <w:r w:rsidRPr="00B916F1">
        <w:rPr>
          <w:rFonts w:cs="Roboto-Regular"/>
          <w:lang w:eastAsia="ja-JP"/>
        </w:rPr>
        <w:t>nvestigator</w:t>
      </w:r>
    </w:p>
    <w:p w14:paraId="43DC24AA" w14:textId="6547508F" w:rsidR="006A3E43" w:rsidRDefault="007E56CF" w:rsidP="000515E1">
      <w:pPr>
        <w:pStyle w:val="LTU-Subhead1"/>
      </w:pPr>
      <w:bookmarkStart w:id="21" w:name="_Toc67035831"/>
      <w:r>
        <w:t>Advisory Group</w:t>
      </w:r>
      <w:bookmarkEnd w:id="21"/>
    </w:p>
    <w:p w14:paraId="69517EA0" w14:textId="77777777" w:rsidR="009264A5" w:rsidRPr="00FC1F1E" w:rsidRDefault="009264A5" w:rsidP="00FC1F1E">
      <w:pPr>
        <w:pStyle w:val="LTU-Bullets0pt"/>
        <w:rPr>
          <w:rFonts w:eastAsia="Calibri"/>
        </w:rPr>
      </w:pPr>
      <w:bookmarkStart w:id="22" w:name="_Toc39248229"/>
      <w:bookmarkStart w:id="23" w:name="_Toc43194496"/>
      <w:bookmarkEnd w:id="18"/>
      <w:bookmarkEnd w:id="17"/>
      <w:bookmarkEnd w:id="16"/>
      <w:bookmarkEnd w:id="15"/>
      <w:bookmarkEnd w:id="14"/>
      <w:r w:rsidRPr="006A192A">
        <w:rPr>
          <w:rFonts w:eastAsia="Calibri"/>
        </w:rPr>
        <w:t xml:space="preserve">Dr Adele </w:t>
      </w:r>
      <w:r w:rsidRPr="00FC1F1E">
        <w:rPr>
          <w:rFonts w:eastAsia="Calibri"/>
        </w:rPr>
        <w:t>Murdolo, Multicultural Centre for Women’s Health</w:t>
      </w:r>
    </w:p>
    <w:p w14:paraId="7673B59C" w14:textId="23D4798F" w:rsidR="009264A5" w:rsidRPr="00FC1F1E" w:rsidRDefault="009264A5" w:rsidP="00FC1F1E">
      <w:pPr>
        <w:pStyle w:val="LTU-Bullets0pt"/>
        <w:rPr>
          <w:rFonts w:eastAsia="Calibri"/>
        </w:rPr>
      </w:pPr>
      <w:r w:rsidRPr="00FC1F1E">
        <w:rPr>
          <w:rFonts w:eastAsia="Calibri"/>
        </w:rPr>
        <w:t>Claire Pirrett, NT Working Women</w:t>
      </w:r>
      <w:r w:rsidR="00DB64D4" w:rsidRPr="00FC1F1E">
        <w:rPr>
          <w:rFonts w:eastAsia="Calibri"/>
        </w:rPr>
        <w:t>’</w:t>
      </w:r>
      <w:r w:rsidRPr="00FC1F1E">
        <w:rPr>
          <w:rFonts w:eastAsia="Calibri"/>
        </w:rPr>
        <w:t xml:space="preserve">s Centre </w:t>
      </w:r>
    </w:p>
    <w:p w14:paraId="500B1AAE" w14:textId="77777777" w:rsidR="009264A5" w:rsidRPr="00FC1F1E" w:rsidRDefault="009264A5" w:rsidP="00FC1F1E">
      <w:pPr>
        <w:pStyle w:val="LTU-Bullets0pt"/>
        <w:rPr>
          <w:rFonts w:eastAsia="Calibri"/>
        </w:rPr>
      </w:pPr>
      <w:r w:rsidRPr="00FC1F1E">
        <w:rPr>
          <w:rFonts w:eastAsia="Calibri"/>
        </w:rPr>
        <w:t xml:space="preserve">Dagmar Jenkins, South East CASA  </w:t>
      </w:r>
    </w:p>
    <w:p w14:paraId="550B6C89" w14:textId="77777777" w:rsidR="009264A5" w:rsidRPr="00FC1F1E" w:rsidRDefault="009264A5" w:rsidP="00FC1F1E">
      <w:pPr>
        <w:pStyle w:val="LTU-Bullets0pt"/>
        <w:rPr>
          <w:rFonts w:eastAsia="Calibri"/>
        </w:rPr>
      </w:pPr>
      <w:r w:rsidRPr="00FC1F1E">
        <w:rPr>
          <w:rFonts w:eastAsia="Calibri"/>
        </w:rPr>
        <w:t>Associate Professor Debbie Ollis, Deakin University</w:t>
      </w:r>
    </w:p>
    <w:p w14:paraId="324FB01E" w14:textId="77777777" w:rsidR="009264A5" w:rsidRPr="00FC1F1E" w:rsidRDefault="009264A5" w:rsidP="00FC1F1E">
      <w:pPr>
        <w:pStyle w:val="LTU-Bullets0pt"/>
        <w:rPr>
          <w:rFonts w:eastAsia="Calibri"/>
        </w:rPr>
      </w:pPr>
      <w:r w:rsidRPr="00FC1F1E">
        <w:rPr>
          <w:rFonts w:eastAsia="Calibri"/>
        </w:rPr>
        <w:t xml:space="preserve">Dr Dominiek Coates, ANROWS </w:t>
      </w:r>
    </w:p>
    <w:p w14:paraId="36243B67" w14:textId="77777777" w:rsidR="009264A5" w:rsidRPr="00FC1F1E" w:rsidRDefault="009264A5" w:rsidP="00FC1F1E">
      <w:pPr>
        <w:pStyle w:val="LTU-Bullets0pt"/>
        <w:rPr>
          <w:rFonts w:eastAsia="Calibri"/>
        </w:rPr>
      </w:pPr>
      <w:r w:rsidRPr="00FC1F1E">
        <w:rPr>
          <w:rFonts w:eastAsia="Calibri"/>
        </w:rPr>
        <w:t xml:space="preserve">Emily Corbett, PhD Student, La Trobe University  </w:t>
      </w:r>
    </w:p>
    <w:p w14:paraId="2707A35B" w14:textId="77777777" w:rsidR="009264A5" w:rsidRPr="00FC1F1E" w:rsidRDefault="009264A5" w:rsidP="00FC1F1E">
      <w:pPr>
        <w:pStyle w:val="LTU-Bullets0pt"/>
        <w:rPr>
          <w:rFonts w:eastAsia="Calibri"/>
        </w:rPr>
      </w:pPr>
      <w:r w:rsidRPr="00FC1F1E">
        <w:rPr>
          <w:rFonts w:eastAsia="Calibri"/>
        </w:rPr>
        <w:t>Dr Emma Fulu, The Equality Institute</w:t>
      </w:r>
    </w:p>
    <w:p w14:paraId="6B1291BA" w14:textId="77777777" w:rsidR="009264A5" w:rsidRPr="00FC1F1E" w:rsidRDefault="009264A5" w:rsidP="00FC1F1E">
      <w:pPr>
        <w:pStyle w:val="LTU-Bullets0pt"/>
        <w:rPr>
          <w:rFonts w:eastAsia="Calibri"/>
        </w:rPr>
      </w:pPr>
      <w:r w:rsidRPr="00FC1F1E">
        <w:rPr>
          <w:rFonts w:eastAsia="Calibri"/>
        </w:rPr>
        <w:t xml:space="preserve">Dr Emma Partridge, Our Watch </w:t>
      </w:r>
    </w:p>
    <w:p w14:paraId="426D8B33" w14:textId="77777777" w:rsidR="009264A5" w:rsidRPr="00FC1F1E" w:rsidRDefault="009264A5" w:rsidP="00FC1F1E">
      <w:pPr>
        <w:pStyle w:val="LTU-Bullets0pt"/>
        <w:rPr>
          <w:rFonts w:eastAsia="Calibri"/>
        </w:rPr>
      </w:pPr>
      <w:r w:rsidRPr="00FC1F1E">
        <w:rPr>
          <w:rFonts w:eastAsia="Calibri"/>
        </w:rPr>
        <w:t>Heather Clarke, National Association of Services Against Sexual Violence (NASASV)</w:t>
      </w:r>
    </w:p>
    <w:p w14:paraId="7F81FC77" w14:textId="77777777" w:rsidR="009264A5" w:rsidRPr="00FC1F1E" w:rsidRDefault="009264A5" w:rsidP="00FC1F1E">
      <w:pPr>
        <w:pStyle w:val="LTU-Bullets0pt"/>
        <w:rPr>
          <w:rFonts w:eastAsia="Calibri"/>
        </w:rPr>
      </w:pPr>
      <w:r w:rsidRPr="00FC1F1E">
        <w:rPr>
          <w:rFonts w:eastAsia="Calibri"/>
        </w:rPr>
        <w:t xml:space="preserve">Dr Laura Tarzia, Melbourne University </w:t>
      </w:r>
    </w:p>
    <w:p w14:paraId="38BF525F" w14:textId="77777777" w:rsidR="009264A5" w:rsidRPr="00FC1F1E" w:rsidRDefault="009264A5" w:rsidP="00FC1F1E">
      <w:pPr>
        <w:pStyle w:val="LTU-Bullets0pt"/>
        <w:rPr>
          <w:rFonts w:eastAsia="Calibri"/>
        </w:rPr>
      </w:pPr>
      <w:r w:rsidRPr="00FC1F1E">
        <w:rPr>
          <w:rFonts w:eastAsia="Calibri"/>
        </w:rPr>
        <w:t xml:space="preserve">Lauren Jones, Australian Human Rights Commission </w:t>
      </w:r>
    </w:p>
    <w:p w14:paraId="1EC7EB25" w14:textId="77777777" w:rsidR="009264A5" w:rsidRPr="00FC1F1E" w:rsidRDefault="009264A5" w:rsidP="00FC1F1E">
      <w:pPr>
        <w:pStyle w:val="LTU-Bullets0pt"/>
        <w:rPr>
          <w:rFonts w:eastAsia="Calibri"/>
        </w:rPr>
      </w:pPr>
      <w:r w:rsidRPr="00FC1F1E">
        <w:rPr>
          <w:rFonts w:eastAsia="Calibri"/>
        </w:rPr>
        <w:t>Associate Professor Michael Flood, Queensland University of Technology</w:t>
      </w:r>
    </w:p>
    <w:p w14:paraId="76949BBE" w14:textId="77777777" w:rsidR="009264A5" w:rsidRPr="00FC1F1E" w:rsidRDefault="009264A5" w:rsidP="00FC1F1E">
      <w:pPr>
        <w:pStyle w:val="LTU-Bullets0pt"/>
        <w:rPr>
          <w:rFonts w:eastAsia="Calibri"/>
        </w:rPr>
      </w:pPr>
      <w:r w:rsidRPr="00FC1F1E">
        <w:rPr>
          <w:rFonts w:eastAsia="Calibri"/>
        </w:rPr>
        <w:t>Associate Professor Michael Salter, University of New South Wales</w:t>
      </w:r>
    </w:p>
    <w:p w14:paraId="3E27B5CB" w14:textId="77777777" w:rsidR="009264A5" w:rsidRPr="00FC1F1E" w:rsidRDefault="009264A5" w:rsidP="00FC1F1E">
      <w:pPr>
        <w:pStyle w:val="LTU-Bullets0pt"/>
        <w:rPr>
          <w:rFonts w:eastAsia="Calibri"/>
        </w:rPr>
      </w:pPr>
      <w:r w:rsidRPr="00FC1F1E">
        <w:rPr>
          <w:rFonts w:eastAsia="Calibri"/>
        </w:rPr>
        <w:t>Samantha Fredericks, On the Line/ MensLine Australia</w:t>
      </w:r>
    </w:p>
    <w:p w14:paraId="14760AA2" w14:textId="1346AA6A" w:rsidR="009264A5" w:rsidRPr="00FC1F1E" w:rsidRDefault="009264A5" w:rsidP="00FC1F1E">
      <w:pPr>
        <w:pStyle w:val="LTU-Bullets0pt"/>
        <w:rPr>
          <w:rFonts w:eastAsia="Calibri"/>
        </w:rPr>
      </w:pPr>
      <w:r w:rsidRPr="00FC1F1E">
        <w:rPr>
          <w:rFonts w:eastAsia="Calibri"/>
        </w:rPr>
        <w:t xml:space="preserve">Starlady, Zoe Belle Gender Collective – </w:t>
      </w:r>
      <w:r w:rsidR="00653DCC" w:rsidRPr="00FC1F1E">
        <w:rPr>
          <w:rFonts w:eastAsia="Calibri"/>
        </w:rPr>
        <w:t>cohealth</w:t>
      </w:r>
    </w:p>
    <w:p w14:paraId="0F82B32F" w14:textId="77777777" w:rsidR="009264A5" w:rsidRPr="00FC1F1E" w:rsidRDefault="009264A5" w:rsidP="00FC1F1E">
      <w:pPr>
        <w:pStyle w:val="LTU-Bullets0pt"/>
        <w:rPr>
          <w:rFonts w:eastAsia="Calibri"/>
        </w:rPr>
      </w:pPr>
      <w:r w:rsidRPr="00FC1F1E">
        <w:rPr>
          <w:rFonts w:eastAsia="Calibri"/>
        </w:rPr>
        <w:t xml:space="preserve">Tina Dixson, Australian Women Against Violence Alliance (AWAVA) </w:t>
      </w:r>
    </w:p>
    <w:p w14:paraId="2420CCBF" w14:textId="11E749B6" w:rsidR="009264A5" w:rsidRPr="006A192A" w:rsidRDefault="009264A5" w:rsidP="00FC1F1E">
      <w:pPr>
        <w:pStyle w:val="LTU-Bullets0pt"/>
        <w:rPr>
          <w:rFonts w:eastAsia="Calibri"/>
        </w:rPr>
      </w:pPr>
      <w:r w:rsidRPr="00FC1F1E">
        <w:rPr>
          <w:rFonts w:eastAsia="Calibri"/>
        </w:rPr>
        <w:t>Professor Victoria</w:t>
      </w:r>
      <w:r w:rsidRPr="006A192A">
        <w:rPr>
          <w:rFonts w:eastAsia="Calibri"/>
        </w:rPr>
        <w:t xml:space="preserve"> Hovane, Psychologist and Consultant  </w:t>
      </w:r>
    </w:p>
    <w:p w14:paraId="71037E11" w14:textId="265A2306" w:rsidR="007C79F2" w:rsidRPr="006A192A" w:rsidRDefault="007C79F2">
      <w:pPr>
        <w:spacing w:after="0" w:line="240" w:lineRule="auto"/>
        <w:rPr>
          <w:rFonts w:cs="Arial"/>
          <w:color w:val="000000"/>
          <w:sz w:val="24"/>
          <w:lang w:eastAsia="en-AU" w:bidi="en-US"/>
        </w:rPr>
      </w:pPr>
      <w:r w:rsidRPr="006A192A">
        <w:br w:type="page"/>
      </w:r>
    </w:p>
    <w:p w14:paraId="4C449062" w14:textId="49D2A3F5" w:rsidR="009264A5" w:rsidRPr="006A192A" w:rsidRDefault="009264A5" w:rsidP="00E36091">
      <w:pPr>
        <w:pStyle w:val="LTU-Sectionheading"/>
      </w:pPr>
      <w:bookmarkStart w:id="24" w:name="_Toc67035832"/>
      <w:r w:rsidRPr="006A192A">
        <w:lastRenderedPageBreak/>
        <w:t>List of Acronyms</w:t>
      </w:r>
      <w:bookmarkEnd w:id="24"/>
    </w:p>
    <w:tbl>
      <w:tblPr>
        <w:tblW w:w="0" w:type="auto"/>
        <w:tblInd w:w="60" w:type="dxa"/>
        <w:tblLayout w:type="fixed"/>
        <w:tblCellMar>
          <w:left w:w="10" w:type="dxa"/>
          <w:right w:w="10" w:type="dxa"/>
        </w:tblCellMar>
        <w:tblLook w:val="04A0" w:firstRow="1" w:lastRow="0" w:firstColumn="1" w:lastColumn="0" w:noHBand="0" w:noVBand="1"/>
      </w:tblPr>
      <w:tblGrid>
        <w:gridCol w:w="2492"/>
        <w:gridCol w:w="7087"/>
      </w:tblGrid>
      <w:tr w:rsidR="009264A5" w:rsidRPr="006A192A" w14:paraId="1DE8371B" w14:textId="77777777" w:rsidTr="10AE549A">
        <w:trPr>
          <w:trHeight w:val="964"/>
        </w:trPr>
        <w:tc>
          <w:tcPr>
            <w:tcW w:w="2492" w:type="dxa"/>
            <w:tcBorders>
              <w:top w:val="nil"/>
              <w:left w:val="nil"/>
              <w:bottom w:val="nil"/>
              <w:right w:val="single" w:sz="8" w:space="0" w:color="FFFFFF" w:themeColor="background2"/>
            </w:tcBorders>
            <w:shd w:val="clear" w:color="auto" w:fill="auto"/>
            <w:vAlign w:val="center"/>
          </w:tcPr>
          <w:p w14:paraId="7D63EBA5" w14:textId="77777777" w:rsidR="009264A5" w:rsidRPr="006A192A" w:rsidRDefault="009264A5" w:rsidP="006C5F0A">
            <w:pPr>
              <w:pStyle w:val="LTU-Subhead1"/>
              <w:rPr>
                <w:lang w:val="en-AU"/>
              </w:rPr>
            </w:pPr>
            <w:bookmarkStart w:id="25" w:name="_Toc57220393"/>
            <w:bookmarkStart w:id="26" w:name="_Toc57221173"/>
            <w:bookmarkStart w:id="27" w:name="_Toc57221896"/>
            <w:bookmarkStart w:id="28" w:name="_Toc57222454"/>
            <w:bookmarkStart w:id="29" w:name="_Toc63440274"/>
            <w:r w:rsidRPr="006A192A">
              <w:rPr>
                <w:lang w:val="en-AU"/>
              </w:rPr>
              <w:t>Acronym</w:t>
            </w:r>
            <w:bookmarkEnd w:id="25"/>
            <w:bookmarkEnd w:id="26"/>
            <w:bookmarkEnd w:id="27"/>
            <w:bookmarkEnd w:id="28"/>
            <w:bookmarkEnd w:id="29"/>
          </w:p>
        </w:tc>
        <w:tc>
          <w:tcPr>
            <w:tcW w:w="7087" w:type="dxa"/>
            <w:tcBorders>
              <w:top w:val="nil"/>
              <w:left w:val="single" w:sz="8" w:space="0" w:color="FFFFFF" w:themeColor="background2"/>
              <w:bottom w:val="nil"/>
              <w:right w:val="nil"/>
            </w:tcBorders>
            <w:shd w:val="clear" w:color="auto" w:fill="auto"/>
            <w:vAlign w:val="center"/>
          </w:tcPr>
          <w:p w14:paraId="7D54164B" w14:textId="77777777" w:rsidR="009264A5" w:rsidRPr="006A192A" w:rsidRDefault="009264A5" w:rsidP="006C5F0A">
            <w:pPr>
              <w:pStyle w:val="LTU-Subhead1"/>
              <w:rPr>
                <w:lang w:val="en-AU"/>
              </w:rPr>
            </w:pPr>
            <w:r w:rsidRPr="006A192A">
              <w:rPr>
                <w:lang w:val="en-AU"/>
              </w:rPr>
              <w:t xml:space="preserve"> </w:t>
            </w:r>
          </w:p>
        </w:tc>
      </w:tr>
      <w:tr w:rsidR="00F727A1" w:rsidRPr="006A192A" w14:paraId="29498B42" w14:textId="77777777" w:rsidTr="10AE549A">
        <w:tc>
          <w:tcPr>
            <w:tcW w:w="2492" w:type="dxa"/>
            <w:tcBorders>
              <w:top w:val="nil"/>
              <w:left w:val="nil"/>
              <w:bottom w:val="nil"/>
              <w:right w:val="nil"/>
            </w:tcBorders>
            <w:shd w:val="clear" w:color="auto" w:fill="auto"/>
            <w:vAlign w:val="center"/>
          </w:tcPr>
          <w:p w14:paraId="629814FE" w14:textId="1A79E927" w:rsidR="00F727A1" w:rsidRPr="006A192A" w:rsidRDefault="00F727A1" w:rsidP="006C5F0A">
            <w:pPr>
              <w:pStyle w:val="LTU-Body10pt"/>
              <w:rPr>
                <w:b/>
                <w:bCs/>
              </w:rPr>
            </w:pPr>
            <w:r>
              <w:rPr>
                <w:b/>
                <w:bCs/>
              </w:rPr>
              <w:t>ABS</w:t>
            </w:r>
          </w:p>
        </w:tc>
        <w:tc>
          <w:tcPr>
            <w:tcW w:w="7087" w:type="dxa"/>
            <w:tcBorders>
              <w:top w:val="nil"/>
              <w:left w:val="nil"/>
              <w:bottom w:val="nil"/>
              <w:right w:val="nil"/>
            </w:tcBorders>
            <w:shd w:val="clear" w:color="auto" w:fill="auto"/>
            <w:vAlign w:val="center"/>
          </w:tcPr>
          <w:p w14:paraId="7F6A3A3F" w14:textId="51F248B2" w:rsidR="00F727A1" w:rsidRPr="006A192A" w:rsidRDefault="00F727A1" w:rsidP="006C5F0A">
            <w:pPr>
              <w:pStyle w:val="LTU-Body10pt"/>
            </w:pPr>
            <w:r w:rsidRPr="0FB19666">
              <w:rPr>
                <w:rFonts w:eastAsia="Times New Roman"/>
                <w:noProof/>
                <w:lang w:eastAsia="en-AU"/>
              </w:rPr>
              <w:t>Australian Bureau of Statistics</w:t>
            </w:r>
          </w:p>
        </w:tc>
      </w:tr>
      <w:tr w:rsidR="008C779F" w:rsidRPr="006A192A" w14:paraId="45264C2F" w14:textId="77777777" w:rsidTr="10AE549A">
        <w:tc>
          <w:tcPr>
            <w:tcW w:w="2492" w:type="dxa"/>
            <w:tcBorders>
              <w:top w:val="nil"/>
              <w:left w:val="nil"/>
              <w:bottom w:val="nil"/>
              <w:right w:val="nil"/>
            </w:tcBorders>
            <w:shd w:val="clear" w:color="auto" w:fill="auto"/>
            <w:vAlign w:val="center"/>
          </w:tcPr>
          <w:p w14:paraId="71A325E5" w14:textId="1A55D366" w:rsidR="008C779F" w:rsidRDefault="008C779F" w:rsidP="006C5F0A">
            <w:pPr>
              <w:pStyle w:val="LTU-Body10pt"/>
              <w:rPr>
                <w:b/>
                <w:bCs/>
              </w:rPr>
            </w:pPr>
            <w:r>
              <w:rPr>
                <w:b/>
                <w:bCs/>
              </w:rPr>
              <w:t>AHRC</w:t>
            </w:r>
          </w:p>
        </w:tc>
        <w:tc>
          <w:tcPr>
            <w:tcW w:w="7087" w:type="dxa"/>
            <w:tcBorders>
              <w:top w:val="nil"/>
              <w:left w:val="nil"/>
              <w:bottom w:val="nil"/>
              <w:right w:val="nil"/>
            </w:tcBorders>
            <w:shd w:val="clear" w:color="auto" w:fill="auto"/>
            <w:vAlign w:val="center"/>
          </w:tcPr>
          <w:p w14:paraId="1AF1B12A" w14:textId="45968763" w:rsidR="008C779F" w:rsidRPr="0FB19666" w:rsidRDefault="008C779F" w:rsidP="006C5F0A">
            <w:pPr>
              <w:pStyle w:val="LTU-Body10pt"/>
              <w:rPr>
                <w:rFonts w:eastAsia="Times New Roman"/>
                <w:noProof/>
                <w:lang w:eastAsia="en-AU"/>
              </w:rPr>
            </w:pPr>
            <w:r>
              <w:rPr>
                <w:rFonts w:eastAsia="Times New Roman"/>
                <w:noProof/>
                <w:lang w:eastAsia="en-AU"/>
              </w:rPr>
              <w:t>Australian Human Rights Commission</w:t>
            </w:r>
          </w:p>
        </w:tc>
      </w:tr>
      <w:tr w:rsidR="00813EAC" w:rsidRPr="006A192A" w14:paraId="3EE350CA" w14:textId="77777777" w:rsidTr="10AE549A">
        <w:tc>
          <w:tcPr>
            <w:tcW w:w="2492" w:type="dxa"/>
            <w:tcBorders>
              <w:top w:val="nil"/>
              <w:left w:val="nil"/>
              <w:bottom w:val="nil"/>
              <w:right w:val="nil"/>
            </w:tcBorders>
            <w:shd w:val="clear" w:color="auto" w:fill="auto"/>
            <w:vAlign w:val="center"/>
          </w:tcPr>
          <w:p w14:paraId="242F12AA" w14:textId="471537D3" w:rsidR="00813EAC" w:rsidRDefault="00813EAC" w:rsidP="006C5F0A">
            <w:pPr>
              <w:pStyle w:val="LTU-Body10pt"/>
              <w:rPr>
                <w:b/>
                <w:bCs/>
              </w:rPr>
            </w:pPr>
            <w:r>
              <w:rPr>
                <w:b/>
                <w:bCs/>
              </w:rPr>
              <w:t>AIHW</w:t>
            </w:r>
          </w:p>
        </w:tc>
        <w:tc>
          <w:tcPr>
            <w:tcW w:w="7087" w:type="dxa"/>
            <w:tcBorders>
              <w:top w:val="nil"/>
              <w:left w:val="nil"/>
              <w:bottom w:val="nil"/>
              <w:right w:val="nil"/>
            </w:tcBorders>
            <w:shd w:val="clear" w:color="auto" w:fill="auto"/>
            <w:vAlign w:val="center"/>
          </w:tcPr>
          <w:p w14:paraId="3CEBD8A7" w14:textId="519BA2AF" w:rsidR="00813EAC" w:rsidRDefault="00813EAC" w:rsidP="006C5F0A">
            <w:pPr>
              <w:pStyle w:val="LTU-Body10pt"/>
              <w:rPr>
                <w:rFonts w:eastAsia="Times New Roman"/>
                <w:noProof/>
                <w:lang w:eastAsia="en-AU"/>
              </w:rPr>
            </w:pPr>
            <w:r>
              <w:rPr>
                <w:rFonts w:eastAsia="Times New Roman"/>
                <w:noProof/>
                <w:lang w:eastAsia="en-AU"/>
              </w:rPr>
              <w:t>Australian Institute of Health and Welfare</w:t>
            </w:r>
          </w:p>
        </w:tc>
      </w:tr>
      <w:tr w:rsidR="009264A5" w:rsidRPr="006A192A" w14:paraId="66AE2897" w14:textId="77777777" w:rsidTr="10AE549A">
        <w:tc>
          <w:tcPr>
            <w:tcW w:w="2492" w:type="dxa"/>
            <w:tcBorders>
              <w:top w:val="nil"/>
              <w:left w:val="nil"/>
              <w:bottom w:val="nil"/>
              <w:right w:val="nil"/>
            </w:tcBorders>
            <w:shd w:val="clear" w:color="auto" w:fill="auto"/>
            <w:vAlign w:val="center"/>
          </w:tcPr>
          <w:p w14:paraId="6C43B52D" w14:textId="10219D6E" w:rsidR="009264A5" w:rsidRPr="006A192A" w:rsidRDefault="00E25C6F" w:rsidP="006C5F0A">
            <w:pPr>
              <w:pStyle w:val="LTU-Body10pt"/>
              <w:rPr>
                <w:b/>
                <w:bCs/>
              </w:rPr>
            </w:pPr>
            <w:r>
              <w:rPr>
                <w:b/>
                <w:bCs/>
              </w:rPr>
              <w:t>ANROWS</w:t>
            </w:r>
          </w:p>
        </w:tc>
        <w:tc>
          <w:tcPr>
            <w:tcW w:w="7087" w:type="dxa"/>
            <w:tcBorders>
              <w:top w:val="nil"/>
              <w:left w:val="nil"/>
              <w:bottom w:val="nil"/>
              <w:right w:val="nil"/>
            </w:tcBorders>
            <w:shd w:val="clear" w:color="auto" w:fill="auto"/>
            <w:vAlign w:val="center"/>
          </w:tcPr>
          <w:p w14:paraId="7C8A74C2" w14:textId="378AC2D3" w:rsidR="009264A5" w:rsidRPr="006A192A" w:rsidRDefault="001B63C6" w:rsidP="006C5F0A">
            <w:pPr>
              <w:pStyle w:val="LTU-Body10pt"/>
            </w:pPr>
            <w:r>
              <w:t>Australia’s National Research Organisation for Women’s Safety</w:t>
            </w:r>
          </w:p>
        </w:tc>
      </w:tr>
      <w:tr w:rsidR="009264A5" w:rsidRPr="006A192A" w14:paraId="2DF1C0C5" w14:textId="77777777" w:rsidTr="10AE549A">
        <w:tc>
          <w:tcPr>
            <w:tcW w:w="2492" w:type="dxa"/>
            <w:tcBorders>
              <w:top w:val="nil"/>
              <w:left w:val="nil"/>
              <w:bottom w:val="nil"/>
              <w:right w:val="nil"/>
            </w:tcBorders>
            <w:shd w:val="clear" w:color="auto" w:fill="auto"/>
            <w:vAlign w:val="center"/>
          </w:tcPr>
          <w:p w14:paraId="42581B45" w14:textId="77777777" w:rsidR="009264A5" w:rsidRPr="006A192A" w:rsidRDefault="009264A5" w:rsidP="006C5F0A">
            <w:pPr>
              <w:pStyle w:val="LTU-Body10pt"/>
              <w:rPr>
                <w:b/>
                <w:bCs/>
              </w:rPr>
            </w:pPr>
            <w:r w:rsidRPr="006A192A">
              <w:rPr>
                <w:b/>
                <w:bCs/>
              </w:rPr>
              <w:t>LGBTIQ</w:t>
            </w:r>
          </w:p>
        </w:tc>
        <w:tc>
          <w:tcPr>
            <w:tcW w:w="7087" w:type="dxa"/>
            <w:tcBorders>
              <w:top w:val="nil"/>
              <w:left w:val="nil"/>
              <w:bottom w:val="nil"/>
              <w:right w:val="nil"/>
            </w:tcBorders>
            <w:shd w:val="clear" w:color="auto" w:fill="auto"/>
            <w:vAlign w:val="center"/>
          </w:tcPr>
          <w:p w14:paraId="491B0DEB" w14:textId="77777777" w:rsidR="009264A5" w:rsidRPr="006A192A" w:rsidRDefault="009264A5" w:rsidP="006C5F0A">
            <w:pPr>
              <w:pStyle w:val="LTU-Body10pt"/>
            </w:pPr>
            <w:r w:rsidRPr="006A192A">
              <w:t>Lesbian, Gay, Bisexual, Transgender, Intersex, Queer</w:t>
            </w:r>
          </w:p>
        </w:tc>
      </w:tr>
      <w:tr w:rsidR="009264A5" w:rsidRPr="006A192A" w14:paraId="5427E708" w14:textId="77777777" w:rsidTr="10AE549A">
        <w:tc>
          <w:tcPr>
            <w:tcW w:w="2492" w:type="dxa"/>
            <w:tcBorders>
              <w:top w:val="nil"/>
              <w:left w:val="nil"/>
              <w:bottom w:val="nil"/>
              <w:right w:val="nil"/>
            </w:tcBorders>
            <w:shd w:val="clear" w:color="auto" w:fill="auto"/>
            <w:vAlign w:val="center"/>
          </w:tcPr>
          <w:p w14:paraId="0B75519A" w14:textId="77777777" w:rsidR="009264A5" w:rsidRPr="006A192A" w:rsidRDefault="009264A5" w:rsidP="006C5F0A">
            <w:pPr>
              <w:pStyle w:val="LTU-Body10pt"/>
              <w:rPr>
                <w:b/>
                <w:bCs/>
              </w:rPr>
            </w:pPr>
            <w:r w:rsidRPr="006A192A">
              <w:rPr>
                <w:b/>
                <w:bCs/>
              </w:rPr>
              <w:t>PSS</w:t>
            </w:r>
          </w:p>
        </w:tc>
        <w:tc>
          <w:tcPr>
            <w:tcW w:w="7087" w:type="dxa"/>
            <w:tcBorders>
              <w:top w:val="nil"/>
              <w:left w:val="nil"/>
              <w:bottom w:val="nil"/>
              <w:right w:val="nil"/>
            </w:tcBorders>
            <w:shd w:val="clear" w:color="auto" w:fill="auto"/>
            <w:vAlign w:val="center"/>
          </w:tcPr>
          <w:p w14:paraId="2EC845BB" w14:textId="1B727807" w:rsidR="009264A5" w:rsidRPr="00C37E5A" w:rsidRDefault="009264A5" w:rsidP="006C5F0A">
            <w:pPr>
              <w:pStyle w:val="LTU-Body10pt"/>
            </w:pPr>
            <w:r w:rsidRPr="002423D7">
              <w:rPr>
                <w:iCs/>
              </w:rPr>
              <w:t>Personal Safety Survey</w:t>
            </w:r>
          </w:p>
        </w:tc>
      </w:tr>
      <w:tr w:rsidR="0057210F" w:rsidRPr="006A192A" w14:paraId="63B960F1" w14:textId="77777777" w:rsidTr="10AE549A">
        <w:tc>
          <w:tcPr>
            <w:tcW w:w="2492" w:type="dxa"/>
            <w:tcBorders>
              <w:top w:val="nil"/>
              <w:left w:val="nil"/>
              <w:bottom w:val="nil"/>
              <w:right w:val="nil"/>
            </w:tcBorders>
            <w:shd w:val="clear" w:color="auto" w:fill="auto"/>
            <w:vAlign w:val="center"/>
          </w:tcPr>
          <w:p w14:paraId="60C45614" w14:textId="40C325E6" w:rsidR="0057210F" w:rsidRPr="006A192A" w:rsidRDefault="0057210F" w:rsidP="006C5F0A">
            <w:pPr>
              <w:pStyle w:val="LTU-Body10pt"/>
              <w:rPr>
                <w:b/>
                <w:bCs/>
              </w:rPr>
            </w:pPr>
            <w:r>
              <w:rPr>
                <w:b/>
                <w:bCs/>
              </w:rPr>
              <w:t>RRE</w:t>
            </w:r>
          </w:p>
        </w:tc>
        <w:tc>
          <w:tcPr>
            <w:tcW w:w="7087" w:type="dxa"/>
            <w:tcBorders>
              <w:top w:val="nil"/>
              <w:left w:val="nil"/>
              <w:bottom w:val="nil"/>
              <w:right w:val="nil"/>
            </w:tcBorders>
            <w:shd w:val="clear" w:color="auto" w:fill="auto"/>
            <w:vAlign w:val="center"/>
          </w:tcPr>
          <w:p w14:paraId="672724BD" w14:textId="6948A4BD" w:rsidR="0057210F" w:rsidRPr="006A192A" w:rsidRDefault="0057210F" w:rsidP="006C5F0A">
            <w:pPr>
              <w:pStyle w:val="LTU-Body10pt"/>
            </w:pPr>
            <w:r>
              <w:t>Respectful Relationships Education</w:t>
            </w:r>
          </w:p>
        </w:tc>
      </w:tr>
      <w:tr w:rsidR="009264A5" w:rsidRPr="006A192A" w14:paraId="49F89F8D" w14:textId="77777777" w:rsidTr="10AE549A">
        <w:tc>
          <w:tcPr>
            <w:tcW w:w="2492" w:type="dxa"/>
            <w:tcBorders>
              <w:top w:val="nil"/>
              <w:left w:val="nil"/>
              <w:bottom w:val="nil"/>
              <w:right w:val="nil"/>
            </w:tcBorders>
            <w:shd w:val="clear" w:color="auto" w:fill="auto"/>
            <w:vAlign w:val="center"/>
          </w:tcPr>
          <w:p w14:paraId="0F8E37A6" w14:textId="77777777" w:rsidR="009264A5" w:rsidRPr="006A192A" w:rsidRDefault="009264A5" w:rsidP="006C5F0A">
            <w:pPr>
              <w:pStyle w:val="LTU-Body10pt"/>
              <w:rPr>
                <w:b/>
                <w:bCs/>
              </w:rPr>
            </w:pPr>
            <w:r w:rsidRPr="006A192A">
              <w:rPr>
                <w:b/>
                <w:bCs/>
              </w:rPr>
              <w:t>SVH</w:t>
            </w:r>
          </w:p>
        </w:tc>
        <w:tc>
          <w:tcPr>
            <w:tcW w:w="7087" w:type="dxa"/>
            <w:tcBorders>
              <w:top w:val="nil"/>
              <w:left w:val="nil"/>
              <w:bottom w:val="nil"/>
              <w:right w:val="nil"/>
            </w:tcBorders>
            <w:shd w:val="clear" w:color="auto" w:fill="auto"/>
            <w:vAlign w:val="center"/>
          </w:tcPr>
          <w:p w14:paraId="5DF98F3A" w14:textId="77777777" w:rsidR="009264A5" w:rsidRPr="006A192A" w:rsidRDefault="009264A5" w:rsidP="006C5F0A">
            <w:pPr>
              <w:pStyle w:val="LTU-Body10pt"/>
            </w:pPr>
            <w:r w:rsidRPr="006A192A">
              <w:t>Sexual violence and harassment</w:t>
            </w:r>
          </w:p>
        </w:tc>
      </w:tr>
      <w:tr w:rsidR="009264A5" w:rsidRPr="006A192A" w14:paraId="40D6A95A" w14:textId="77777777" w:rsidTr="10AE549A">
        <w:tc>
          <w:tcPr>
            <w:tcW w:w="2492" w:type="dxa"/>
            <w:tcBorders>
              <w:top w:val="nil"/>
              <w:left w:val="nil"/>
              <w:bottom w:val="nil"/>
              <w:right w:val="nil"/>
            </w:tcBorders>
            <w:shd w:val="clear" w:color="auto" w:fill="auto"/>
            <w:vAlign w:val="center"/>
          </w:tcPr>
          <w:p w14:paraId="2895959A" w14:textId="77777777" w:rsidR="009264A5" w:rsidRPr="006A192A" w:rsidRDefault="009264A5" w:rsidP="006C5F0A">
            <w:pPr>
              <w:pStyle w:val="LTU-Body10pt"/>
              <w:rPr>
                <w:b/>
                <w:bCs/>
              </w:rPr>
            </w:pPr>
            <w:r w:rsidRPr="006A192A">
              <w:rPr>
                <w:b/>
                <w:bCs/>
              </w:rPr>
              <w:t>VAW</w:t>
            </w:r>
          </w:p>
        </w:tc>
        <w:tc>
          <w:tcPr>
            <w:tcW w:w="7087" w:type="dxa"/>
            <w:tcBorders>
              <w:top w:val="nil"/>
              <w:left w:val="nil"/>
              <w:bottom w:val="nil"/>
              <w:right w:val="nil"/>
            </w:tcBorders>
            <w:shd w:val="clear" w:color="auto" w:fill="auto"/>
            <w:vAlign w:val="center"/>
          </w:tcPr>
          <w:p w14:paraId="0D98FAB5" w14:textId="77777777" w:rsidR="009264A5" w:rsidRPr="006A192A" w:rsidRDefault="009264A5" w:rsidP="006C5F0A">
            <w:pPr>
              <w:pStyle w:val="LTU-Body10pt"/>
            </w:pPr>
            <w:r w:rsidRPr="006A192A">
              <w:t>Violence against women</w:t>
            </w:r>
          </w:p>
        </w:tc>
      </w:tr>
      <w:tr w:rsidR="009264A5" w:rsidRPr="006A192A" w14:paraId="342B233F" w14:textId="77777777" w:rsidTr="10AE549A">
        <w:tc>
          <w:tcPr>
            <w:tcW w:w="2492" w:type="dxa"/>
            <w:tcBorders>
              <w:top w:val="nil"/>
              <w:left w:val="nil"/>
              <w:bottom w:val="nil"/>
              <w:right w:val="nil"/>
            </w:tcBorders>
            <w:shd w:val="clear" w:color="auto" w:fill="auto"/>
            <w:vAlign w:val="center"/>
          </w:tcPr>
          <w:p w14:paraId="257A362A" w14:textId="77777777" w:rsidR="009264A5" w:rsidRPr="006A192A" w:rsidRDefault="009264A5" w:rsidP="006C5F0A">
            <w:pPr>
              <w:pStyle w:val="LTU-Body10pt"/>
              <w:rPr>
                <w:b/>
                <w:bCs/>
              </w:rPr>
            </w:pPr>
            <w:r w:rsidRPr="006A192A">
              <w:rPr>
                <w:b/>
                <w:bCs/>
              </w:rPr>
              <w:t>WHO</w:t>
            </w:r>
          </w:p>
        </w:tc>
        <w:tc>
          <w:tcPr>
            <w:tcW w:w="7087" w:type="dxa"/>
            <w:tcBorders>
              <w:top w:val="nil"/>
              <w:left w:val="nil"/>
              <w:bottom w:val="nil"/>
              <w:right w:val="nil"/>
            </w:tcBorders>
            <w:shd w:val="clear" w:color="auto" w:fill="auto"/>
            <w:vAlign w:val="center"/>
          </w:tcPr>
          <w:p w14:paraId="5C7CA0A1" w14:textId="77777777" w:rsidR="009264A5" w:rsidRPr="006A192A" w:rsidRDefault="009264A5" w:rsidP="006C5F0A">
            <w:pPr>
              <w:pStyle w:val="LTU-Body10pt"/>
            </w:pPr>
            <w:r w:rsidRPr="006A192A">
              <w:t>World Health Organization</w:t>
            </w:r>
          </w:p>
        </w:tc>
      </w:tr>
    </w:tbl>
    <w:p w14:paraId="4A1F1062" w14:textId="4D8B1362" w:rsidR="00332631" w:rsidRDefault="00332631" w:rsidP="000515E1">
      <w:pPr>
        <w:pStyle w:val="LTU-Subhead1"/>
        <w:rPr>
          <w:lang w:eastAsia="ja-JP"/>
        </w:rPr>
      </w:pPr>
      <w:r>
        <w:br w:type="page"/>
      </w:r>
      <w:bookmarkStart w:id="30" w:name="_Toc67035833"/>
      <w:r w:rsidR="00A12FAA">
        <w:rPr>
          <w:lang w:eastAsia="ja-JP"/>
        </w:rPr>
        <w:lastRenderedPageBreak/>
        <w:t>Definitions</w:t>
      </w:r>
      <w:bookmarkEnd w:id="30"/>
    </w:p>
    <w:p w14:paraId="24C45EFD" w14:textId="5F53D9B7" w:rsidR="00332631" w:rsidRPr="0080576F" w:rsidRDefault="00332631" w:rsidP="00B86124">
      <w:pPr>
        <w:pStyle w:val="LTU-Body10pt"/>
      </w:pPr>
      <w:r w:rsidRPr="0080576F">
        <w:t>This project will use the following definitions:</w:t>
      </w:r>
    </w:p>
    <w:p w14:paraId="1C7CCC28" w14:textId="6E738AE2" w:rsidR="00332631" w:rsidRPr="0080576F" w:rsidRDefault="00332631" w:rsidP="00E36091">
      <w:pPr>
        <w:pStyle w:val="LTU-Subhead2"/>
      </w:pPr>
      <w:r w:rsidRPr="0080576F">
        <w:t>Sexual Violence</w:t>
      </w:r>
    </w:p>
    <w:p w14:paraId="0234D584" w14:textId="2A4243C7" w:rsidR="00332631" w:rsidRDefault="00332631" w:rsidP="00B86124">
      <w:pPr>
        <w:pStyle w:val="LTU-Body10pt"/>
      </w:pPr>
      <w:r w:rsidRPr="0080576F">
        <w:t>Sexual violence may include (but is not limited to) rape, sexual assault, indecent assault,</w:t>
      </w:r>
      <w:r w:rsidR="0080576F">
        <w:t xml:space="preserve">  s</w:t>
      </w:r>
      <w:r w:rsidRPr="0080576F">
        <w:t>exual coercion, being forced to watch or engage in pornography, enforced prostitution,</w:t>
      </w:r>
      <w:r w:rsidR="0080576F">
        <w:t xml:space="preserve"> </w:t>
      </w:r>
      <w:r w:rsidRPr="0080576F">
        <w:t>sex trafficking, unwanted touching, and the non-consensual sharing of intimate images</w:t>
      </w:r>
      <w:r w:rsidR="00C27A19">
        <w:t xml:space="preserve"> </w:t>
      </w:r>
      <w:r w:rsidR="00C27A19">
        <w:fldChar w:fldCharType="begin" w:fldLock="1"/>
      </w:r>
      <w:r w:rsidR="00367D7A">
        <w:instrText>ADDIN CSL_CITATION {"citationItems":[{"id":"ITEM-1","itemData":{"author":[{"dropping-particle":"","family":"Australian Institute of Health and Welfare","given":"","non-dropping-particle":"","parse-names":false,"suffix":""}],"id":"ITEM-1","issued":{"date-parts":[["2019"]]},"publisher":"AIHW","publisher-place":"Canberra","title":"Family, domestic and sexual violence in Australia: Continuing the national story 2019-In brief","type":"webpage"},"uris":["http://www.mendeley.com/documents/?uuid=5ec544ff-0ddd-3db8-a5f8-3b2a0a5ab041"]}],"mendeley":{"formattedCitation":"(Australian Institute of Health and Welfare, 2019)","manualFormatting":"(Australian Institute of Health and Welfare [AIHW], 2019)","plainTextFormattedCitation":"(Australian Institute of Health and Welfare, 2019)","previouslyFormattedCitation":"(Australian Institute of Health and Welfare, 2019)"},"properties":{"noteIndex":0},"schema":"https://github.com/citation-style-language/schema/raw/master/csl-citation.json"}</w:instrText>
      </w:r>
      <w:r w:rsidR="00C27A19">
        <w:fldChar w:fldCharType="separate"/>
      </w:r>
      <w:r w:rsidR="00C27A19" w:rsidRPr="00C27A19">
        <w:rPr>
          <w:noProof/>
        </w:rPr>
        <w:t>(Australian Institute of Health and Welfare</w:t>
      </w:r>
      <w:r w:rsidR="00E75E23">
        <w:rPr>
          <w:noProof/>
        </w:rPr>
        <w:t xml:space="preserve"> </w:t>
      </w:r>
      <w:r w:rsidR="0093373F">
        <w:rPr>
          <w:noProof/>
        </w:rPr>
        <w:t>[</w:t>
      </w:r>
      <w:r w:rsidR="00E75E23">
        <w:rPr>
          <w:noProof/>
        </w:rPr>
        <w:t>AIHW</w:t>
      </w:r>
      <w:r w:rsidR="0093373F">
        <w:rPr>
          <w:noProof/>
        </w:rPr>
        <w:t>]</w:t>
      </w:r>
      <w:r w:rsidR="00C27A19" w:rsidRPr="00C27A19">
        <w:rPr>
          <w:noProof/>
        </w:rPr>
        <w:t>, 2019)</w:t>
      </w:r>
      <w:r w:rsidR="00C27A19">
        <w:fldChar w:fldCharType="end"/>
      </w:r>
      <w:r w:rsidRPr="0080576F">
        <w:t>.</w:t>
      </w:r>
    </w:p>
    <w:p w14:paraId="3FEFD35D" w14:textId="77777777" w:rsidR="00332631" w:rsidRPr="0080576F" w:rsidRDefault="00332631" w:rsidP="00E36091">
      <w:pPr>
        <w:pStyle w:val="LTU-Subhead2"/>
      </w:pPr>
      <w:r w:rsidRPr="0080576F">
        <w:t>Sexual Harassment</w:t>
      </w:r>
    </w:p>
    <w:p w14:paraId="1F84C74E" w14:textId="74A529FD" w:rsidR="00332631" w:rsidRDefault="00332631" w:rsidP="00B86124">
      <w:pPr>
        <w:pStyle w:val="LTU-Body10pt"/>
      </w:pPr>
      <w:r w:rsidRPr="0080576F">
        <w:t xml:space="preserve">The </w:t>
      </w:r>
      <w:r w:rsidRPr="0080576F">
        <w:rPr>
          <w:rFonts w:cs="Roboto-Italic"/>
          <w:i/>
          <w:iCs/>
        </w:rPr>
        <w:t xml:space="preserve">Sex Discrimination Act 1984 </w:t>
      </w:r>
      <w:r w:rsidRPr="0080576F">
        <w:t>(Cwlth) defines sexual harassment as any unwelcome</w:t>
      </w:r>
      <w:r w:rsidR="0080576F">
        <w:t xml:space="preserve"> </w:t>
      </w:r>
      <w:r w:rsidRPr="0080576F">
        <w:t>sexual advance, request for sexual favours or conduct of a sexual nature in relation to the</w:t>
      </w:r>
      <w:r w:rsidR="0080576F">
        <w:t xml:space="preserve"> </w:t>
      </w:r>
      <w:r w:rsidRPr="0080576F">
        <w:t>person harassed in circumstances where a reasonable person would have anticipated the</w:t>
      </w:r>
      <w:r w:rsidR="0080576F">
        <w:t xml:space="preserve"> </w:t>
      </w:r>
      <w:r w:rsidRPr="0080576F">
        <w:t>possibility that the person harassed would be offended, humiliated or intimidated</w:t>
      </w:r>
      <w:r w:rsidR="00333EB2">
        <w:t xml:space="preserve"> </w:t>
      </w:r>
      <w:r w:rsidR="00333EB2">
        <w:fldChar w:fldCharType="begin" w:fldLock="1"/>
      </w:r>
      <w:r w:rsidR="00367D7A">
        <w:instrText>ADDIN CSL_CITATION {"citationItems":[{"id":"ITEM-1","itemData":{"URL":"https://humanrights.gov.au/our-work/sexual-harassment-workplace-legal-definition-sexual-harassment","author":[{"dropping-particle":"","family":"Australian Human Rights Commission","given":"","non-dropping-particle":"","parse-names":false,"suffix":""}],"id":"ITEM-1","issued":{"date-parts":[["2020"]]},"title":"Sexual harassment in the workplace - The legal definition of sexual harassment","type":"webpage"},"uris":["http://www.mendeley.com/documents/?uuid=d1a7d6d5-ec0e-3cdb-8321-444454d64a76"]}],"mendeley":{"formattedCitation":"(Australian Human Rights Commission, 2020b)","manualFormatting":"(Australian Human Rights Commission [AHRC], 2020b)","plainTextFormattedCitation":"(Australian Human Rights Commission, 2020b)","previouslyFormattedCitation":"(Australian Human Rights Commission, 2020b)"},"properties":{"noteIndex":0},"schema":"https://github.com/citation-style-language/schema/raw/master/csl-citation.json"}</w:instrText>
      </w:r>
      <w:r w:rsidR="00333EB2">
        <w:fldChar w:fldCharType="separate"/>
      </w:r>
      <w:r w:rsidR="00333EB2" w:rsidRPr="00333EB2">
        <w:rPr>
          <w:noProof/>
        </w:rPr>
        <w:t>(Australian Human Rights Commission</w:t>
      </w:r>
      <w:r w:rsidR="008C779F">
        <w:rPr>
          <w:noProof/>
        </w:rPr>
        <w:t xml:space="preserve"> </w:t>
      </w:r>
      <w:r w:rsidR="0093373F">
        <w:rPr>
          <w:noProof/>
        </w:rPr>
        <w:t>[</w:t>
      </w:r>
      <w:r w:rsidR="008C779F">
        <w:rPr>
          <w:noProof/>
        </w:rPr>
        <w:t>AHRC</w:t>
      </w:r>
      <w:r w:rsidR="0093373F">
        <w:rPr>
          <w:noProof/>
        </w:rPr>
        <w:t>]</w:t>
      </w:r>
      <w:r w:rsidR="00333EB2" w:rsidRPr="00333EB2">
        <w:rPr>
          <w:noProof/>
        </w:rPr>
        <w:t>, 2020b)</w:t>
      </w:r>
      <w:r w:rsidR="00333EB2">
        <w:fldChar w:fldCharType="end"/>
      </w:r>
      <w:r w:rsidRPr="0080576F">
        <w:t>.</w:t>
      </w:r>
    </w:p>
    <w:p w14:paraId="524E1DD2" w14:textId="77777777" w:rsidR="00FE114B" w:rsidRPr="0080576F" w:rsidRDefault="00FE114B" w:rsidP="00E36091">
      <w:pPr>
        <w:pStyle w:val="LTU-Subhead2"/>
      </w:pPr>
      <w:r w:rsidRPr="0080576F">
        <w:t>Technology-</w:t>
      </w:r>
      <w:r>
        <w:t>F</w:t>
      </w:r>
      <w:r w:rsidRPr="0080576F">
        <w:t>acilitated Sexual Violence</w:t>
      </w:r>
    </w:p>
    <w:p w14:paraId="19DAE64C" w14:textId="04A23629" w:rsidR="00FE114B" w:rsidRDefault="00FE114B" w:rsidP="00FE114B">
      <w:pPr>
        <w:pStyle w:val="LTU-Body10pt"/>
      </w:pPr>
      <w:r w:rsidRPr="0080576F">
        <w:t>Technology-facilitated sexual violence</w:t>
      </w:r>
      <w:r>
        <w:t xml:space="preserve"> (TFSV)</w:t>
      </w:r>
      <w:r w:rsidRPr="0080576F">
        <w:t xml:space="preserve"> involves the use of digital technologies</w:t>
      </w:r>
      <w:r>
        <w:t xml:space="preserve"> and platforms</w:t>
      </w:r>
      <w:r w:rsidRPr="0080576F">
        <w:t xml:space="preserve"> to</w:t>
      </w:r>
      <w:r>
        <w:t xml:space="preserve"> </w:t>
      </w:r>
      <w:r w:rsidRPr="0080576F">
        <w:t>perpetrate sexually aggressive or harassing behaviours</w:t>
      </w:r>
      <w:r>
        <w:t xml:space="preserve">. It includes </w:t>
      </w:r>
      <w:r w:rsidRPr="0080576F">
        <w:t>rape threats,</w:t>
      </w:r>
      <w:r>
        <w:t xml:space="preserve"> online stalking, the use of an app or platform to set up an in-person rape or sexual assault, and image-based sexual abuse </w:t>
      </w:r>
      <w:r>
        <w:fldChar w:fldCharType="begin" w:fldLock="1"/>
      </w:r>
      <w:r w:rsidR="00AA1994">
        <w:instrText>ADDIN CSL_CITATION {"citationItems":[{"id":"ITEM-1","itemData":{"DOI":"10.1177/1524838016650189","ISSN":"15528324","PMID":"27311818","abstract":"Technology-facilitated sexual violence (TFSV) refers to a range of behaviors where digital technologies are used to facilitate both virtual and face-to-face sexually based harms. Such behaviors include online sexual harassment, gender- and sexuality-based harassment, cyberstalking, image-based sexual exploitation, and the use of a carriage service to coerce a victim into an unwanted sexual act. This article reviews the current state of knowledge on these different dimensions, drawing on existing empirical studies. While there is a growing body of research into technology-facilitated harms perpetrated against children and adolescents, there is a dearth of qualitative and quantitative research on TFSV against adults. Moreover, few of the existing studies provide reliable data on the nature, scope, and impacts of TFSV. Preliminary studies, however, indicate that some harms, much like sexual violence more broadly, may be predominantly gender-, sexuality-, and age-based, with young women being overrepresented as victims in some categories. This review collects the empirical evidence to date regarding the prevalence and gender-based nature of TFSV against adults and discusses the implications for policy and programs, as well as suggestions for future research.","author":[{"dropping-particle":"","family":"Henry","given":"Nicola","non-dropping-particle":"","parse-names":false,"suffix":""},{"dropping-particle":"","family":"Powell","given":"Anastasia","non-dropping-particle":"","parse-names":false,"suffix":""}],"container-title":"Trauma, Violence, and Abuse","id":"ITEM-1","issue":"2","issued":{"date-parts":[["2018"]]},"page":"195-208","publisher":"195-208","title":"Technology-facilitated sexual violence: A literature review of rmpirical research","type":"article-journal","volume":"19"},"uris":["http://www.mendeley.com/documents/?uuid=7e026a62-4968-3d40-b9cc-43ace7689093"]},{"id":"ITEM-2","itemData":{"DOI":"10.1057/978-1-137-58047-4","abstract":"The law alone will not provide an answer to technology-facilitated sexual violence, nor will it fulfil the justice needs of many victims. Partly this is due to the significant challenges of responding to crime in a global, digital context in which victims, perpetrators and the technologies used to facilitate harm may often reside in different nation states and the cross-jurisdictional will and/or the capacity to investigate all forms of technology-facilitated sexual violence may simply not be present or practically feasible given the scope of the problem. The law then cannot be the sole focus of efforts to address technology-facilitated sexual violence. This is a complex social problem that requires a combination of legal, technical and social solutions to tackle it at its core. In this chapter, we focus our attention on the prevention of technology-facilitated sexual violence. In particular, we consider the possibilities for translating existing prevention approaches, and developing new ones, for preventing digital violence, abuse and harassment.","author":[{"dropping-particle":"","family":"Powell","given":"Anastasia","non-dropping-particle":"","parse-names":false,"suffix":""},{"dropping-particle":"","family":"Henry","given":"Nicola","non-dropping-particle":"","parse-names":false,"suffix":""}],"container-title":"Sexual Violence in a Digital Age","id":"ITEM-2","issued":{"date-parts":[["2017"]]},"publisher":"Palgrave Macmillan","publisher-place":"London","title":"Sexual violence in a digital age","type":"book"},"uris":["http://www.mendeley.com/documents/?uuid=c9729503-e740-357f-b441-a543426c4862"]}],"mendeley":{"formattedCitation":"(Henry &amp; Powell, 2018; Powell &amp; Henry, 2017)","plainTextFormattedCitation":"(Henry &amp; Powell, 2018; Powell &amp; Henry, 2017)","previouslyFormattedCitation":"(Henry &amp; Powell, 2018; Powell &amp; Henry, 2017)"},"properties":{"noteIndex":0},"schema":"https://github.com/citation-style-language/schema/raw/master/csl-citation.json"}</w:instrText>
      </w:r>
      <w:r>
        <w:fldChar w:fldCharType="separate"/>
      </w:r>
      <w:r w:rsidR="00082EEB" w:rsidRPr="00082EEB">
        <w:rPr>
          <w:noProof/>
        </w:rPr>
        <w:t>(Henry &amp; Powell, 2018; Powell &amp; Henry, 2017)</w:t>
      </w:r>
      <w:r>
        <w:fldChar w:fldCharType="end"/>
      </w:r>
      <w:r w:rsidRPr="0080576F">
        <w:t>.</w:t>
      </w:r>
      <w:r>
        <w:t xml:space="preserve"> Image-based sexual abuse refers to the non-consensual taking or sharing of nude or sexual images. It can include: </w:t>
      </w:r>
      <w:r w:rsidRPr="0080576F">
        <w:t>taking a sexually intrusive</w:t>
      </w:r>
      <w:r>
        <w:t xml:space="preserve"> </w:t>
      </w:r>
      <w:r w:rsidRPr="0080576F">
        <w:t>photograph</w:t>
      </w:r>
      <w:r>
        <w:t xml:space="preserve"> </w:t>
      </w:r>
      <w:r w:rsidRPr="0080576F">
        <w:t>up someone’s skirt (commonly referred to as “upskirting”)</w:t>
      </w:r>
      <w:r>
        <w:t xml:space="preserve">; threats to share nude or sexual images to obtain money or sexual images (known as “sextortion”); the use of artificial intelligence or other digital tools to make fake </w:t>
      </w:r>
      <w:r w:rsidRPr="0080576F">
        <w:t>pornography</w:t>
      </w:r>
      <w:r>
        <w:t xml:space="preserve"> (to make it look as if the person is engaging in a sexual act or posing nude</w:t>
      </w:r>
      <w:r w:rsidR="002423D7">
        <w:t xml:space="preserve"> (</w:t>
      </w:r>
      <w:r w:rsidR="00082EEB">
        <w:fldChar w:fldCharType="begin" w:fldLock="1"/>
      </w:r>
      <w:r w:rsidR="00367D7A">
        <w:instrText>ADDIN CSL_CITATION {"citationItems":[{"id":"ITEM-1","itemData":{"ISBN":"978-1-351-13515-3","author":[{"dropping-particle":"","family":"Henry","given":"Nicola","non-dropping-particle":"","parse-names":false,"suffix":""},{"dropping-particle":"","family":"McGlynn","given":"Clare","non-dropping-particle":"","parse-names":false,"suffix":""},{"dropping-particle":"","family":"Flynn","given":"Asher","non-dropping-particle":"","parse-names":false,"suffix":""},{"dropping-particle":"","family":"Johnson","given":"Kelly","non-dropping-particle":"","parse-names":false,"suffix":""},{"dropping-particle":"","family":"Powell","given":"Anastasia","non-dropping-particle":"","parse-names":false,"suffix":""},{"dropping-particle":"","family":"Scott","given":"Adrian J.","non-dropping-particle":"","parse-names":false,"suffix":""}],"genre":"book","id":"ITEM-1","issued":{"date-parts":[["2020"]]},"language":"eng","publisher":"Routledge","publisher-place":"London; New York","title":"Image-based Sexual Abuse. A Study on the Causes and Consequences of Non-Consensual Nude or Sexual Imagery","type":"book"},"uris":["http://www.mendeley.com/documents/?uuid=759dcd84-b245-3f16-8be7-126261a67612"]}],"mendeley":{"formattedCitation":"(Henry et al., 2020)","manualFormatting":" Henry et al., 2020)","plainTextFormattedCitation":"(Henry et al., 2020)","previouslyFormattedCitation":"(Henry et al., 2020)"},"properties":{"noteIndex":0},"schema":"https://github.com/citation-style-language/schema/raw/master/csl-citation.json"}</w:instrText>
      </w:r>
      <w:r w:rsidR="00082EEB">
        <w:fldChar w:fldCharType="separate"/>
      </w:r>
      <w:r w:rsidR="00082EEB" w:rsidRPr="00082EEB">
        <w:rPr>
          <w:noProof/>
        </w:rPr>
        <w:t>Henry et al., 2020)</w:t>
      </w:r>
      <w:r w:rsidR="00082EEB">
        <w:fldChar w:fldCharType="end"/>
      </w:r>
      <w:r>
        <w:t>. TFSV is</w:t>
      </w:r>
      <w:r w:rsidRPr="0080576F">
        <w:t xml:space="preserve"> a</w:t>
      </w:r>
      <w:r>
        <w:t xml:space="preserve"> common</w:t>
      </w:r>
      <w:r w:rsidRPr="0080576F">
        <w:t xml:space="preserve"> tactic used by perpetrator</w:t>
      </w:r>
      <w:r>
        <w:t>s</w:t>
      </w:r>
      <w:r w:rsidRPr="0080576F">
        <w:t xml:space="preserve"> of family violence</w:t>
      </w:r>
      <w:r>
        <w:t xml:space="preserve"> </w:t>
      </w:r>
      <w:r>
        <w:fldChar w:fldCharType="begin" w:fldLock="1"/>
      </w:r>
      <w:r>
        <w:instrText>ADDIN CSL_CITATION {"citationItems":[{"id":"ITEM-1","itemData":{"DOI":"10.1093/bjc/azy068","ISBN":"0007-0955","abstract":"The use of technology, including smartphones, cameras, Internet-connected devices, computers and platforms such as Facebook, is now an essential part of everyday life. Such technology is used to maintain social networks and carry out daily tasks. However, this technology can also be employed to facilitate domestic and family violence. Drawing on interviews undertaken with 55 domestic and family violence survivors in Brisbane, Australia, this article outlines survivors experiences of technology-facilitated domestic and family violence. The frequency and nature of abusive behaviours described by the women suggest this is a key form of abuse deserving more significant attention.","author":[{"dropping-particle":"","family":"Douglas","given":"Heather","non-dropping-particle":"","parse-names":false,"suffix":""},{"dropping-particle":"","family":"Harris","given":"Bridget A","non-dropping-particle":"","parse-names":false,"suffix":""},{"dropping-particle":"","family":"Dragiewicz","given":"Molly","non-dropping-particle":"","parse-names":false,"suffix":""}],"container-title":"The British Journal of Criminology","id":"ITEM-1","issue":"3","issued":{"date-parts":[["2019"]]},"page":"551-570","title":"Technology-facilitated domestic and family violence: Women's experiences","type":"article-journal","volume":"59"},"uris":["http://www.mendeley.com/documents/?uuid=79db7278-461a-4243-8300-02bfffb20e49"]}],"mendeley":{"formattedCitation":"(Douglas et al., 2019)","plainTextFormattedCitation":"(Douglas et al., 2019)","previouslyFormattedCitation":"(Douglas et al., 2019)"},"properties":{"noteIndex":0},"schema":"https://github.com/citation-style-language/schema/raw/master/csl-citation.json"}</w:instrText>
      </w:r>
      <w:r>
        <w:fldChar w:fldCharType="separate"/>
      </w:r>
      <w:r w:rsidRPr="00C27A19">
        <w:rPr>
          <w:noProof/>
        </w:rPr>
        <w:t>(Douglas et al., 2019)</w:t>
      </w:r>
      <w:r>
        <w:fldChar w:fldCharType="end"/>
      </w:r>
      <w:r w:rsidRPr="0080576F">
        <w:t>. It can also be perpetrated by strangers, friends, colleagues or others</w:t>
      </w:r>
      <w:r>
        <w:t xml:space="preserve"> </w:t>
      </w:r>
      <w:r w:rsidRPr="0080576F">
        <w:t>known to the</w:t>
      </w:r>
      <w:r>
        <w:t xml:space="preserve"> </w:t>
      </w:r>
      <w:r w:rsidRPr="0080576F">
        <w:t>victim</w:t>
      </w:r>
      <w:r w:rsidR="00565C94">
        <w:t>–</w:t>
      </w:r>
      <w:r w:rsidRPr="0080576F">
        <w:t>survivor</w:t>
      </w:r>
      <w:r>
        <w:t xml:space="preserve"> </w:t>
      </w:r>
      <w:r>
        <w:fldChar w:fldCharType="begin" w:fldLock="1"/>
      </w:r>
      <w:r>
        <w:instrText>ADDIN CSL_CITATION {"citationItems":[{"id":"ITEM-1","itemData":{"DOI":"10.1057/978-1-137-58047-4","abstract":"The law alone will not provide an answer to technology-facilitated sexual violence, nor will it fulfil the justice needs of many victims. Partly this is due to the significant challenges of responding to crime in a global, digital context in which victims, perpetrators and the technologies used to facilitate harm may often reside in different nation states and the cross-jurisdictional will and/or the capacity to investigate all forms of technology-facilitated sexual violence may simply not be present or practically feasible given the scope of the problem. The law then cannot be the sole focus of efforts to address technology-facilitated sexual violence. This is a complex social problem that requires a combination of legal, technical and social solutions to tackle it at its core. In this chapter, we focus our attention on the prevention of technology-facilitated sexual violence. In particular, we consider the possibilities for translating existing prevention approaches, and developing new ones, for preventing digital violence, abuse and harassment.","author":[{"dropping-particle":"","family":"Powell","given":"Anastasia","non-dropping-particle":"","parse-names":false,"suffix":""},{"dropping-particle":"","family":"Henry","given":"Nicola","non-dropping-particle":"","parse-names":false,"suffix":""}],"container-title":"Sexual Violence in a Digital Age","id":"ITEM-1","issued":{"date-parts":[["2017"]]},"publisher":"Palgrave Macmillan","publisher-place":"London","title":"Sexual violence in a digital age","type":"book"},"uris":["http://www.mendeley.com/documents/?uuid=c9729503-e740-357f-b441-a543426c4862"]}],"mendeley":{"formattedCitation":"(Powell &amp; Henry, 2017)","plainTextFormattedCitation":"(Powell &amp; Henry, 2017)","previouslyFormattedCitation":"(Powell &amp; Henry, 2017)"},"properties":{"noteIndex":0},"schema":"https://github.com/citation-style-language/schema/raw/master/csl-citation.json"}</w:instrText>
      </w:r>
      <w:r>
        <w:fldChar w:fldCharType="separate"/>
      </w:r>
      <w:r w:rsidRPr="00C27A19">
        <w:rPr>
          <w:noProof/>
        </w:rPr>
        <w:t>(Powell &amp; Henry, 2017)</w:t>
      </w:r>
      <w:r>
        <w:fldChar w:fldCharType="end"/>
      </w:r>
      <w:r w:rsidRPr="0080576F">
        <w:t>.</w:t>
      </w:r>
    </w:p>
    <w:p w14:paraId="18EEA308" w14:textId="77777777" w:rsidR="00E36091" w:rsidRDefault="00E36091">
      <w:pPr>
        <w:spacing w:after="0" w:line="240" w:lineRule="auto"/>
        <w:rPr>
          <w:rFonts w:cs="Brioni Std Medium"/>
          <w:b/>
          <w:color w:val="696766"/>
          <w:sz w:val="26"/>
          <w:szCs w:val="23"/>
          <w:lang w:val="en-GB"/>
        </w:rPr>
      </w:pPr>
      <w:r>
        <w:br w:type="page"/>
      </w:r>
    </w:p>
    <w:p w14:paraId="6516856F" w14:textId="1DD1E944" w:rsidR="00332631" w:rsidRPr="0080576F" w:rsidRDefault="00332631" w:rsidP="00E36091">
      <w:pPr>
        <w:pStyle w:val="LTU-Subhead2"/>
      </w:pPr>
      <w:r w:rsidRPr="0080576F">
        <w:lastRenderedPageBreak/>
        <w:t>Primary Prevention</w:t>
      </w:r>
    </w:p>
    <w:p w14:paraId="6FD1676D" w14:textId="124B60E1" w:rsidR="006A3E43" w:rsidRPr="0080576F" w:rsidRDefault="00332631" w:rsidP="00B86124">
      <w:pPr>
        <w:pStyle w:val="LTU-Body10pt"/>
      </w:pPr>
      <w:r w:rsidRPr="0080576F">
        <w:t xml:space="preserve">This report uses the definition of primary prevention outlined in </w:t>
      </w:r>
      <w:r w:rsidRPr="0080576F">
        <w:rPr>
          <w:rFonts w:cs="Roboto-Italic"/>
          <w:i/>
          <w:iCs/>
        </w:rPr>
        <w:t>Change the Story: A shared</w:t>
      </w:r>
      <w:r w:rsidR="0080576F">
        <w:rPr>
          <w:rFonts w:cs="Roboto-Italic"/>
          <w:i/>
          <w:iCs/>
        </w:rPr>
        <w:t xml:space="preserve"> </w:t>
      </w:r>
      <w:r w:rsidRPr="0080576F">
        <w:rPr>
          <w:rFonts w:cs="Roboto-Italic"/>
          <w:i/>
          <w:iCs/>
        </w:rPr>
        <w:t>framework for the primary prevention of violence against women and their children in</w:t>
      </w:r>
      <w:r w:rsidR="0080576F">
        <w:rPr>
          <w:rFonts w:cs="Roboto-Italic"/>
          <w:i/>
          <w:iCs/>
        </w:rPr>
        <w:t xml:space="preserve"> </w:t>
      </w:r>
      <w:r w:rsidRPr="0080576F">
        <w:rPr>
          <w:rFonts w:cs="Roboto-Italic"/>
          <w:i/>
          <w:iCs/>
        </w:rPr>
        <w:t>Australia</w:t>
      </w:r>
      <w:r w:rsidRPr="0080576F">
        <w:t>, which defines primary prevention as “whole-of-population initiatives that</w:t>
      </w:r>
      <w:r w:rsidR="0080576F">
        <w:t xml:space="preserve"> </w:t>
      </w:r>
      <w:r w:rsidRPr="0080576F">
        <w:t>address the primary (‘first’ or underlying) drivers of violence”</w:t>
      </w:r>
      <w:r w:rsidR="002B7958">
        <w:t xml:space="preserve"> </w:t>
      </w:r>
      <w:r w:rsidR="002B7958">
        <w:fldChar w:fldCharType="begin" w:fldLock="1"/>
      </w:r>
      <w:r w:rsidR="002B7958">
        <w:instrText>ADDIN CSL_CITATION {"citationItems":[{"id":"ITEM-1","itemData":{"author":[{"dropping-particle":"","family":"Our Watch","given":"","non-dropping-particle":"","parse-names":false,"suffix":""},{"dropping-particle":"","family":"VicHealth","given":"","non-dropping-particle":"","parse-names":false,"suffix":""},{"dropping-particle":"","family":"Australia’s National Research Organisation for Women’s Safety (ANROWS)","given":"","non-dropping-particle":"","parse-names":false,"suffix":""}],"id":"ITEM-1","issued":{"date-parts":[["2015"]]},"publisher":"Our Watch","publisher-place":"Melbourne","title":"Change the story: A shared framework for the primary prevention of violence against women and their children in Australia","type":"book"},"locator":"15","uris":["http://www.mendeley.com/documents/?uuid=1ac2cfc8-d99d-352b-bef7-4d255532f942"]}],"mendeley":{"formattedCitation":"(Our Watch et al., 2015, p. 15)","plainTextFormattedCitation":"(Our Watch et al., 2015, p. 15)","previouslyFormattedCitation":"(Our Watch et al., 2015, p. 15)"},"properties":{"noteIndex":0},"schema":"https://github.com/citation-style-language/schema/raw/master/csl-citation.json"}</w:instrText>
      </w:r>
      <w:r w:rsidR="002B7958">
        <w:fldChar w:fldCharType="separate"/>
      </w:r>
      <w:r w:rsidR="002B7958" w:rsidRPr="002B7958">
        <w:rPr>
          <w:noProof/>
        </w:rPr>
        <w:t>(Our Watch et al., 2015, p. 15)</w:t>
      </w:r>
      <w:r w:rsidR="002B7958">
        <w:fldChar w:fldCharType="end"/>
      </w:r>
      <w:r w:rsidRPr="0080576F">
        <w:t xml:space="preserve"> </w:t>
      </w:r>
    </w:p>
    <w:p w14:paraId="46FF7BE1" w14:textId="595160E0" w:rsidR="00D91748" w:rsidRPr="00D91748" w:rsidRDefault="00D91748" w:rsidP="000515E1">
      <w:pPr>
        <w:pStyle w:val="LTU-Subhead1"/>
        <w:rPr>
          <w:lang w:eastAsia="ja-JP"/>
        </w:rPr>
      </w:pPr>
      <w:bookmarkStart w:id="31" w:name="_Toc67035834"/>
      <w:r>
        <w:rPr>
          <w:lang w:eastAsia="ja-JP"/>
        </w:rPr>
        <w:t xml:space="preserve">Note on </w:t>
      </w:r>
      <w:r w:rsidR="008836A9">
        <w:rPr>
          <w:lang w:eastAsia="ja-JP"/>
        </w:rPr>
        <w:t>T</w:t>
      </w:r>
      <w:r>
        <w:rPr>
          <w:lang w:eastAsia="ja-JP"/>
        </w:rPr>
        <w:t>erminology</w:t>
      </w:r>
      <w:bookmarkEnd w:id="31"/>
      <w:r>
        <w:rPr>
          <w:lang w:eastAsia="ja-JP"/>
        </w:rPr>
        <w:t xml:space="preserve"> </w:t>
      </w:r>
    </w:p>
    <w:p w14:paraId="47F153BE" w14:textId="6705BD57" w:rsidR="00D91748" w:rsidRDefault="00D91748" w:rsidP="00D91748">
      <w:pPr>
        <w:pStyle w:val="LTU-Body10pt"/>
        <w:rPr>
          <w:lang w:eastAsia="ja-JP"/>
        </w:rPr>
      </w:pPr>
      <w:r w:rsidRPr="00D91748">
        <w:rPr>
          <w:lang w:eastAsia="ja-JP"/>
        </w:rPr>
        <w:t>The terminology in this report is as inclusive as possible. However, as with any national</w:t>
      </w:r>
      <w:r>
        <w:rPr>
          <w:lang w:eastAsia="ja-JP"/>
        </w:rPr>
        <w:t xml:space="preserve"> </w:t>
      </w:r>
      <w:r w:rsidRPr="00D91748">
        <w:rPr>
          <w:lang w:eastAsia="ja-JP"/>
        </w:rPr>
        <w:t>report that uses collective terms, the range of people and identities across Australia are</w:t>
      </w:r>
      <w:r>
        <w:rPr>
          <w:lang w:eastAsia="ja-JP"/>
        </w:rPr>
        <w:t xml:space="preserve"> </w:t>
      </w:r>
      <w:r w:rsidRPr="00D91748">
        <w:rPr>
          <w:lang w:eastAsia="ja-JP"/>
        </w:rPr>
        <w:t>not captured in their entirety. Unless referring to research that uses different terminology,</w:t>
      </w:r>
      <w:r>
        <w:rPr>
          <w:lang w:eastAsia="ja-JP"/>
        </w:rPr>
        <w:t xml:space="preserve"> </w:t>
      </w:r>
      <w:r w:rsidRPr="00D91748">
        <w:rPr>
          <w:lang w:eastAsia="ja-JP"/>
        </w:rPr>
        <w:t>this report will use the following:</w:t>
      </w:r>
    </w:p>
    <w:p w14:paraId="1F9D70B3" w14:textId="77777777" w:rsidR="006F3B17" w:rsidRDefault="00D91748" w:rsidP="006F3B17">
      <w:pPr>
        <w:pStyle w:val="LTU-Bullets10pt"/>
        <w:numPr>
          <w:ilvl w:val="0"/>
          <w:numId w:val="1"/>
        </w:numPr>
        <w:spacing w:before="0" w:after="200"/>
        <w:contextualSpacing/>
        <w:rPr>
          <w:lang w:eastAsia="ja-JP"/>
        </w:rPr>
      </w:pPr>
      <w:r w:rsidRPr="00D91748">
        <w:rPr>
          <w:lang w:eastAsia="ja-JP"/>
        </w:rPr>
        <w:t>Aboriginal and Torres Strait Islander: This report follows the definition laid out in</w:t>
      </w:r>
      <w:r>
        <w:rPr>
          <w:lang w:eastAsia="ja-JP"/>
        </w:rPr>
        <w:t xml:space="preserve"> </w:t>
      </w:r>
      <w:r w:rsidRPr="00D91748">
        <w:rPr>
          <w:rFonts w:cs="Roboto-Italic"/>
          <w:i/>
          <w:iCs/>
          <w:lang w:eastAsia="ja-JP"/>
        </w:rPr>
        <w:t xml:space="preserve">Changing the Picture </w:t>
      </w:r>
      <w:r w:rsidR="002B7958">
        <w:rPr>
          <w:rFonts w:cs="Roboto-Italic"/>
          <w:i/>
          <w:iCs/>
          <w:lang w:eastAsia="ja-JP"/>
        </w:rPr>
        <w:fldChar w:fldCharType="begin" w:fldLock="1"/>
      </w:r>
      <w:r w:rsidR="00283FFE">
        <w:rPr>
          <w:rFonts w:cs="Roboto-Italic"/>
          <w:i/>
          <w:iCs/>
          <w:lang w:eastAsia="ja-JP"/>
        </w:rPr>
        <w:instrText>ADDIN CSL_CITATION {"citationItems":[{"id":"ITEM-1","itemData":{"author":[{"dropping-particle":"","family":"Our Watch","given":"","non-dropping-particle":"","parse-names":false,"suffix":""}],"id":"ITEM-1","issued":{"date-parts":[["2018"]]},"publisher":"Our Watch","publisher-place":"Melbourne","title":"Changing the picture: A national resource to prevent violence against Aboriginal and Torres Strait Islander women and their children","type":"report"},"uris":["http://www.mendeley.com/documents/?uuid=41677f41-cb76-3073-9d3c-e4d25910fa68"]}],"mendeley":{"formattedCitation":"(Our Watch, 2018)","plainTextFormattedCitation":"(Our Watch, 2018)","previouslyFormattedCitation":"(Our Watch, 2018)"},"properties":{"noteIndex":0},"schema":"https://github.com/citation-style-language/schema/raw/master/csl-citation.json"}</w:instrText>
      </w:r>
      <w:r w:rsidR="002B7958">
        <w:rPr>
          <w:rFonts w:cs="Roboto-Italic"/>
          <w:i/>
          <w:iCs/>
          <w:lang w:eastAsia="ja-JP"/>
        </w:rPr>
        <w:fldChar w:fldCharType="separate"/>
      </w:r>
      <w:r w:rsidR="002B7958" w:rsidRPr="002B7958">
        <w:rPr>
          <w:rFonts w:cs="Roboto-Italic"/>
          <w:iCs/>
          <w:noProof/>
          <w:lang w:eastAsia="ja-JP"/>
        </w:rPr>
        <w:t>(Our Watch, 2018)</w:t>
      </w:r>
      <w:r w:rsidR="002B7958">
        <w:rPr>
          <w:rFonts w:cs="Roboto-Italic"/>
          <w:i/>
          <w:iCs/>
          <w:lang w:eastAsia="ja-JP"/>
        </w:rPr>
        <w:fldChar w:fldCharType="end"/>
      </w:r>
      <w:r w:rsidR="002B7958">
        <w:rPr>
          <w:rFonts w:cs="Roboto-Italic"/>
          <w:i/>
          <w:iCs/>
          <w:lang w:eastAsia="ja-JP"/>
        </w:rPr>
        <w:t xml:space="preserve"> </w:t>
      </w:r>
      <w:r w:rsidRPr="00D91748">
        <w:rPr>
          <w:lang w:eastAsia="ja-JP"/>
        </w:rPr>
        <w:t>where the term ‘Aboriginal and Torres Strait</w:t>
      </w:r>
      <w:r>
        <w:rPr>
          <w:lang w:eastAsia="ja-JP"/>
        </w:rPr>
        <w:t xml:space="preserve"> </w:t>
      </w:r>
      <w:r w:rsidRPr="00D91748">
        <w:rPr>
          <w:lang w:eastAsia="ja-JP"/>
        </w:rPr>
        <w:t>Islander people’ includes “Aboriginal peoples, Torres Strait Islander peoples and people</w:t>
      </w:r>
      <w:r>
        <w:rPr>
          <w:lang w:eastAsia="ja-JP"/>
        </w:rPr>
        <w:t xml:space="preserve"> </w:t>
      </w:r>
      <w:r w:rsidRPr="00D91748">
        <w:rPr>
          <w:lang w:eastAsia="ja-JP"/>
        </w:rPr>
        <w:t>with both Aboriginal and Torres Strait Islander heritage... [or] [o]n occasion, in keeping</w:t>
      </w:r>
      <w:r>
        <w:rPr>
          <w:lang w:eastAsia="ja-JP"/>
        </w:rPr>
        <w:t xml:space="preserve"> </w:t>
      </w:r>
      <w:r w:rsidRPr="00D91748">
        <w:rPr>
          <w:lang w:eastAsia="ja-JP"/>
        </w:rPr>
        <w:t>with international human rights language … the term ‘Indigenous’ to include both</w:t>
      </w:r>
      <w:r>
        <w:rPr>
          <w:lang w:eastAsia="ja-JP"/>
        </w:rPr>
        <w:t xml:space="preserve"> </w:t>
      </w:r>
      <w:r w:rsidRPr="00D91748">
        <w:rPr>
          <w:lang w:eastAsia="ja-JP"/>
        </w:rPr>
        <w:t>Aboriginal and Torres Strait Islander people and communities, or to differentiate</w:t>
      </w:r>
      <w:r>
        <w:rPr>
          <w:lang w:eastAsia="ja-JP"/>
        </w:rPr>
        <w:t xml:space="preserve"> </w:t>
      </w:r>
      <w:r w:rsidRPr="00D91748">
        <w:rPr>
          <w:lang w:eastAsia="ja-JP"/>
        </w:rPr>
        <w:t>between Indigenous and non-Indigenous people and organisations”.</w:t>
      </w:r>
      <w:r>
        <w:rPr>
          <w:lang w:eastAsia="ja-JP"/>
        </w:rPr>
        <w:t xml:space="preserve"> </w:t>
      </w:r>
    </w:p>
    <w:p w14:paraId="3AAC53A5" w14:textId="77777777" w:rsidR="006F3B17" w:rsidRDefault="00D91748" w:rsidP="006F3B17">
      <w:pPr>
        <w:pStyle w:val="LTU-Bullets10pt"/>
        <w:numPr>
          <w:ilvl w:val="0"/>
          <w:numId w:val="1"/>
        </w:numPr>
        <w:spacing w:before="0" w:after="200"/>
        <w:contextualSpacing/>
        <w:rPr>
          <w:lang w:eastAsia="ja-JP"/>
        </w:rPr>
      </w:pPr>
      <w:r w:rsidRPr="00D91748">
        <w:rPr>
          <w:lang w:eastAsia="ja-JP"/>
        </w:rPr>
        <w:t>Cisgender: A person who identifies as the gender they were assigned at birth.</w:t>
      </w:r>
    </w:p>
    <w:p w14:paraId="3B9196F4" w14:textId="77777777" w:rsidR="006F3B17" w:rsidRDefault="00D91748" w:rsidP="006F3B17">
      <w:pPr>
        <w:pStyle w:val="LTU-Bullets10pt"/>
        <w:numPr>
          <w:ilvl w:val="0"/>
          <w:numId w:val="1"/>
        </w:numPr>
        <w:spacing w:before="0" w:after="200"/>
        <w:contextualSpacing/>
        <w:rPr>
          <w:lang w:eastAsia="ja-JP"/>
        </w:rPr>
      </w:pPr>
      <w:r w:rsidRPr="00D91748">
        <w:rPr>
          <w:lang w:eastAsia="ja-JP"/>
        </w:rPr>
        <w:t>Family/families: Someone of significance in a person's life. This includes any person</w:t>
      </w:r>
      <w:r>
        <w:rPr>
          <w:lang w:eastAsia="ja-JP"/>
        </w:rPr>
        <w:t xml:space="preserve"> </w:t>
      </w:r>
      <w:r w:rsidRPr="00D91748">
        <w:rPr>
          <w:lang w:eastAsia="ja-JP"/>
        </w:rPr>
        <w:t>identified as a member of someone's family, including people who are not legally</w:t>
      </w:r>
      <w:r>
        <w:rPr>
          <w:lang w:eastAsia="ja-JP"/>
        </w:rPr>
        <w:t xml:space="preserve"> </w:t>
      </w:r>
      <w:r w:rsidRPr="00D91748">
        <w:rPr>
          <w:lang w:eastAsia="ja-JP"/>
        </w:rPr>
        <w:t>related.</w:t>
      </w:r>
    </w:p>
    <w:p w14:paraId="7010E9BC" w14:textId="77777777" w:rsidR="006F3B17" w:rsidRDefault="00D91748" w:rsidP="006F3B17">
      <w:pPr>
        <w:pStyle w:val="LTU-Bullets10pt"/>
        <w:numPr>
          <w:ilvl w:val="0"/>
          <w:numId w:val="1"/>
        </w:numPr>
        <w:spacing w:before="0" w:after="200"/>
        <w:contextualSpacing/>
        <w:rPr>
          <w:lang w:eastAsia="ja-JP"/>
        </w:rPr>
      </w:pPr>
      <w:r w:rsidRPr="00D91748">
        <w:rPr>
          <w:lang w:eastAsia="ja-JP"/>
        </w:rPr>
        <w:t>LGBTIQ: Used to refer to the broader lesbian, gay, bisexual, transgender, intersex and</w:t>
      </w:r>
      <w:r>
        <w:rPr>
          <w:lang w:eastAsia="ja-JP"/>
        </w:rPr>
        <w:t xml:space="preserve"> </w:t>
      </w:r>
      <w:r w:rsidRPr="00D91748">
        <w:rPr>
          <w:lang w:eastAsia="ja-JP"/>
        </w:rPr>
        <w:t>queer communities. However, we note that some communities may have different ways</w:t>
      </w:r>
      <w:r>
        <w:rPr>
          <w:lang w:eastAsia="ja-JP"/>
        </w:rPr>
        <w:t xml:space="preserve"> </w:t>
      </w:r>
      <w:r w:rsidRPr="00D91748">
        <w:rPr>
          <w:lang w:eastAsia="ja-JP"/>
        </w:rPr>
        <w:t>of describing themselves or their communities. Where appropriate, the chosen term for</w:t>
      </w:r>
      <w:r>
        <w:rPr>
          <w:lang w:eastAsia="ja-JP"/>
        </w:rPr>
        <w:t xml:space="preserve"> </w:t>
      </w:r>
      <w:r w:rsidRPr="00D91748">
        <w:rPr>
          <w:lang w:eastAsia="ja-JP"/>
        </w:rPr>
        <w:t>any identity will be used.</w:t>
      </w:r>
    </w:p>
    <w:p w14:paraId="5AB39EBA" w14:textId="77777777" w:rsidR="006F3B17" w:rsidRDefault="00D91748" w:rsidP="006F3B17">
      <w:pPr>
        <w:pStyle w:val="LTU-Bullets10pt"/>
        <w:numPr>
          <w:ilvl w:val="0"/>
          <w:numId w:val="1"/>
        </w:numPr>
        <w:spacing w:before="0" w:after="200"/>
        <w:contextualSpacing/>
        <w:rPr>
          <w:lang w:eastAsia="ja-JP"/>
        </w:rPr>
      </w:pPr>
      <w:r w:rsidRPr="00D91748">
        <w:rPr>
          <w:lang w:eastAsia="ja-JP"/>
        </w:rPr>
        <w:t>Transgender: A person who identifies as a gender other than that assigned at birth.</w:t>
      </w:r>
    </w:p>
    <w:p w14:paraId="2A313E2D" w14:textId="77777777" w:rsidR="006F3B17" w:rsidRDefault="00D91748" w:rsidP="006F3B17">
      <w:pPr>
        <w:pStyle w:val="LTU-Bullets10pt"/>
        <w:numPr>
          <w:ilvl w:val="0"/>
          <w:numId w:val="1"/>
        </w:numPr>
        <w:spacing w:before="0" w:after="200"/>
        <w:contextualSpacing/>
        <w:rPr>
          <w:lang w:eastAsia="ja-JP"/>
        </w:rPr>
      </w:pPr>
      <w:r w:rsidRPr="00D91748">
        <w:rPr>
          <w:lang w:eastAsia="ja-JP"/>
        </w:rPr>
        <w:t>Women/woman/girl: Anyone who identifies as female.</w:t>
      </w:r>
    </w:p>
    <w:p w14:paraId="5C68E6F7" w14:textId="4877D743" w:rsidR="00D91748" w:rsidRDefault="00D91748" w:rsidP="006F3B17">
      <w:pPr>
        <w:pStyle w:val="LTU-Bullets10pt"/>
        <w:numPr>
          <w:ilvl w:val="0"/>
          <w:numId w:val="1"/>
        </w:numPr>
        <w:spacing w:before="0" w:after="200"/>
        <w:contextualSpacing/>
        <w:rPr>
          <w:lang w:eastAsia="ja-JP"/>
        </w:rPr>
      </w:pPr>
      <w:r w:rsidRPr="00D91748">
        <w:rPr>
          <w:lang w:eastAsia="ja-JP"/>
        </w:rPr>
        <w:t>Women and girls with disabilities: this recognises the social model of disability</w:t>
      </w:r>
      <w:r w:rsidR="00B5165A">
        <w:rPr>
          <w:lang w:eastAsia="ja-JP"/>
        </w:rPr>
        <w:t>—</w:t>
      </w:r>
      <w:r w:rsidRPr="00D91748">
        <w:rPr>
          <w:lang w:eastAsia="ja-JP"/>
        </w:rPr>
        <w:t>that</w:t>
      </w:r>
      <w:r>
        <w:rPr>
          <w:lang w:eastAsia="ja-JP"/>
        </w:rPr>
        <w:t xml:space="preserve"> </w:t>
      </w:r>
      <w:r w:rsidRPr="00D91748">
        <w:rPr>
          <w:lang w:eastAsia="ja-JP"/>
        </w:rPr>
        <w:t>people are disabled by social barriers</w:t>
      </w:r>
      <w:r w:rsidR="00B5165A">
        <w:rPr>
          <w:lang w:eastAsia="ja-JP"/>
        </w:rPr>
        <w:t>—</w:t>
      </w:r>
      <w:r w:rsidRPr="00D91748">
        <w:rPr>
          <w:lang w:eastAsia="ja-JP"/>
        </w:rPr>
        <w:t>as well as a ‘person-first’ approach (i.e.,</w:t>
      </w:r>
      <w:r>
        <w:rPr>
          <w:lang w:eastAsia="ja-JP"/>
        </w:rPr>
        <w:t xml:space="preserve"> </w:t>
      </w:r>
      <w:r w:rsidRPr="00D91748">
        <w:rPr>
          <w:lang w:eastAsia="ja-JP"/>
        </w:rPr>
        <w:t>“women and girls with disabilities”).</w:t>
      </w:r>
    </w:p>
    <w:p w14:paraId="009AEF93" w14:textId="77777777" w:rsidR="00324D17" w:rsidRDefault="00324D17" w:rsidP="00324D17">
      <w:pPr>
        <w:pStyle w:val="LTU-Body10pt"/>
        <w:rPr>
          <w:lang w:eastAsia="ja-JP" w:bidi="en-US"/>
        </w:rPr>
        <w:sectPr w:rsidR="00324D17" w:rsidSect="00557D32">
          <w:footerReference w:type="even" r:id="rId21"/>
          <w:type w:val="continuous"/>
          <w:pgSz w:w="11906" w:h="16838" w:code="9"/>
          <w:pgMar w:top="1722" w:right="709" w:bottom="1276" w:left="1418" w:header="709" w:footer="624" w:gutter="0"/>
          <w:cols w:space="708"/>
          <w:docGrid w:linePitch="360"/>
        </w:sectPr>
      </w:pPr>
    </w:p>
    <w:p w14:paraId="5EF81917" w14:textId="2BEA9801" w:rsidR="00BA7CF3" w:rsidRPr="00E36091" w:rsidRDefault="00324D17" w:rsidP="00E36091">
      <w:pPr>
        <w:pStyle w:val="LTU-Sectionheading"/>
      </w:pPr>
      <w:bookmarkStart w:id="32" w:name="_Toc67035835"/>
      <w:bookmarkEnd w:id="22"/>
      <w:bookmarkEnd w:id="23"/>
      <w:r>
        <w:lastRenderedPageBreak/>
        <w:t>I</w:t>
      </w:r>
      <w:r w:rsidR="00710B7E">
        <w:t>n</w:t>
      </w:r>
      <w:r w:rsidR="00BA7CF3" w:rsidRPr="006A192A">
        <w:t>troduction</w:t>
      </w:r>
      <w:r w:rsidR="00F47277">
        <w:t xml:space="preserve"> &amp; </w:t>
      </w:r>
      <w:r w:rsidR="003A532A">
        <w:t>A</w:t>
      </w:r>
      <w:r w:rsidR="00F47277">
        <w:t>ims</w:t>
      </w:r>
      <w:bookmarkEnd w:id="32"/>
    </w:p>
    <w:p w14:paraId="3B55B343" w14:textId="1AFA02DC" w:rsidR="003F5E5F" w:rsidRDefault="009804E3" w:rsidP="009804E3">
      <w:pPr>
        <w:pStyle w:val="LTU-Body10pt"/>
        <w:rPr>
          <w:lang w:eastAsia="ja-JP"/>
        </w:rPr>
      </w:pPr>
      <w:r>
        <w:rPr>
          <w:lang w:eastAsia="ja-JP"/>
        </w:rPr>
        <w:t xml:space="preserve">‘Sexual violence’ is an umbrella term used to describe physical and non-physical forms of violence of a sexual nature, carried out against a person’s will. </w:t>
      </w:r>
      <w:r w:rsidR="003F5E5F">
        <w:rPr>
          <w:lang w:eastAsia="ja-JP"/>
        </w:rPr>
        <w:t>Sexual violence and harassment (SVH) exist on a spectrum of violence against women and girls. SVH can be a single instance, or it can be experienced in a variety of ways across a woman’s life, and the perpetrator is most often known to the woman</w:t>
      </w:r>
      <w:r w:rsidR="00945965">
        <w:rPr>
          <w:lang w:eastAsia="ja-JP"/>
        </w:rPr>
        <w:t>, including</w:t>
      </w:r>
      <w:r w:rsidR="00F2474B">
        <w:rPr>
          <w:lang w:eastAsia="ja-JP"/>
        </w:rPr>
        <w:t>,</w:t>
      </w:r>
      <w:r w:rsidR="00945965">
        <w:rPr>
          <w:lang w:eastAsia="ja-JP"/>
        </w:rPr>
        <w:t xml:space="preserve"> </w:t>
      </w:r>
      <w:r w:rsidR="00D333B4">
        <w:rPr>
          <w:lang w:eastAsia="ja-JP"/>
        </w:rPr>
        <w:t xml:space="preserve">for example, </w:t>
      </w:r>
      <w:r w:rsidR="00945965">
        <w:rPr>
          <w:lang w:eastAsia="ja-JP"/>
        </w:rPr>
        <w:t>from a</w:t>
      </w:r>
      <w:r w:rsidR="00D333B4">
        <w:rPr>
          <w:lang w:eastAsia="ja-JP"/>
        </w:rPr>
        <w:t xml:space="preserve"> family member, acquaintance or</w:t>
      </w:r>
      <w:r w:rsidR="00945965">
        <w:rPr>
          <w:lang w:eastAsia="ja-JP"/>
        </w:rPr>
        <w:t xml:space="preserve"> partner</w:t>
      </w:r>
      <w:r w:rsidR="002B7958">
        <w:rPr>
          <w:lang w:eastAsia="ja-JP"/>
        </w:rPr>
        <w:t xml:space="preserve"> </w:t>
      </w:r>
      <w:r w:rsidR="00E75E23">
        <w:rPr>
          <w:lang w:eastAsia="ja-JP"/>
        </w:rPr>
        <w:t>(</w:t>
      </w:r>
      <w:r w:rsidR="00283FFE">
        <w:rPr>
          <w:lang w:eastAsia="ja-JP"/>
        </w:rPr>
        <w:fldChar w:fldCharType="begin" w:fldLock="1"/>
      </w:r>
      <w:r w:rsidR="00E75E23">
        <w:rPr>
          <w:lang w:eastAsia="ja-JP"/>
        </w:rPr>
        <w:instrText>ADDIN CSL_CITATION {"citationItems":[{"id":"ITEM-1","itemData":{"author":[{"dropping-particle":"","family":"Australian Institute of Health and Welfare","given":"","non-dropping-particle":"","parse-names":false,"suffix":""}],"id":"ITEM-1","issued":{"date-parts":[["2018"]]},"publisher":"AIHW","publisher-place":"Canberra","title":"Family, sexual and domestic violence in Australia, 2018","type":"report"},"uris":["http://www.mendeley.com/documents/?uuid=3c761817-5af7-3171-927d-2d2c16d5b732"]}],"mendeley":{"formattedCitation":"(Australian Institute of Health and Welfare, 2018)","manualFormatting":"AIHW, 2018)","plainTextFormattedCitation":"(Australian Institute of Health and Welfare, 2018)","previouslyFormattedCitation":"(Australian Institute of Health and Welfare, 2018)"},"properties":{"noteIndex":0},"schema":"https://github.com/citation-style-language/schema/raw/master/csl-citation.json"}</w:instrText>
      </w:r>
      <w:r w:rsidR="00283FFE">
        <w:rPr>
          <w:lang w:eastAsia="ja-JP"/>
        </w:rPr>
        <w:fldChar w:fldCharType="separate"/>
      </w:r>
      <w:r w:rsidR="00E75E23">
        <w:rPr>
          <w:noProof/>
          <w:lang w:eastAsia="ja-JP"/>
        </w:rPr>
        <w:t>AIHW</w:t>
      </w:r>
      <w:r w:rsidR="00283FFE" w:rsidRPr="00283FFE">
        <w:rPr>
          <w:noProof/>
          <w:lang w:eastAsia="ja-JP"/>
        </w:rPr>
        <w:t>, 2018)</w:t>
      </w:r>
      <w:r w:rsidR="00283FFE">
        <w:rPr>
          <w:lang w:eastAsia="ja-JP"/>
        </w:rPr>
        <w:fldChar w:fldCharType="end"/>
      </w:r>
      <w:r w:rsidR="003F5E5F">
        <w:rPr>
          <w:lang w:eastAsia="ja-JP"/>
        </w:rPr>
        <w:t xml:space="preserve">. Intimate partner sexual violence </w:t>
      </w:r>
      <w:r w:rsidR="00B47B56">
        <w:rPr>
          <w:lang w:eastAsia="ja-JP"/>
        </w:rPr>
        <w:t xml:space="preserve">can be </w:t>
      </w:r>
      <w:r w:rsidR="003F5E5F">
        <w:rPr>
          <w:lang w:eastAsia="ja-JP"/>
        </w:rPr>
        <w:t xml:space="preserve">used alongside other tactics of </w:t>
      </w:r>
      <w:r w:rsidR="006B7F50">
        <w:rPr>
          <w:lang w:eastAsia="ja-JP"/>
        </w:rPr>
        <w:t>family</w:t>
      </w:r>
      <w:r w:rsidR="003F5E5F">
        <w:rPr>
          <w:lang w:eastAsia="ja-JP"/>
        </w:rPr>
        <w:t xml:space="preserve"> violence</w:t>
      </w:r>
      <w:r w:rsidR="00BF342A">
        <w:rPr>
          <w:lang w:eastAsia="ja-JP"/>
        </w:rPr>
        <w:t xml:space="preserve"> </w:t>
      </w:r>
      <w:r w:rsidR="00BF342A">
        <w:rPr>
          <w:lang w:eastAsia="ja-JP"/>
        </w:rPr>
        <w:fldChar w:fldCharType="begin" w:fldLock="1"/>
      </w:r>
      <w:r w:rsidR="00367D7A">
        <w:rPr>
          <w:lang w:eastAsia="ja-JP"/>
        </w:rPr>
        <w:instrText>ADDIN CSL_CITATION {"citationItems":[{"id":"ITEM-1","itemData":{"author":[{"dropping-particle":"","family":"Australia’s National Research Organisation for Women’s Safety (ANROWS)","given":"","non-dropping-particle":"","parse-names":false,"suffix":""}],"edition":"2nd","id":"ITEM-1","issued":{"date-parts":[["2019"]]},"publisher":"ANROWS","publisher-place":"Sydney","title":"Intimate partner sexual violence: Research synthesis","type":"report"},"uris":["http://www.mendeley.com/documents/?uuid=38a0ff43-1228-394b-91e8-ca3ecff41048"]}],"mendeley":{"formattedCitation":"(Australia’s National Research Organisation for Women’s Safety (ANROWS), 2019)","manualFormatting":"(Australia’s National Research Organisation for Women’s Safety [ANROWS], 2019)","plainTextFormattedCitation":"(Australia’s National Research Organisation for Women’s Safety (ANROWS), 2019)","previouslyFormattedCitation":"(Australia’s National Research Organisation for Women’s Safety (ANROWS), 2019)"},"properties":{"noteIndex":0},"schema":"https://github.com/citation-style-language/schema/raw/master/csl-citation.json"}</w:instrText>
      </w:r>
      <w:r w:rsidR="00BF342A">
        <w:rPr>
          <w:lang w:eastAsia="ja-JP"/>
        </w:rPr>
        <w:fldChar w:fldCharType="separate"/>
      </w:r>
      <w:r w:rsidR="00BF342A" w:rsidRPr="00BF342A">
        <w:rPr>
          <w:noProof/>
          <w:lang w:eastAsia="ja-JP"/>
        </w:rPr>
        <w:t xml:space="preserve">(Australia’s National Research Organisation for Women’s Safety </w:t>
      </w:r>
      <w:r w:rsidR="00B5165A">
        <w:rPr>
          <w:noProof/>
          <w:lang w:eastAsia="ja-JP"/>
        </w:rPr>
        <w:t>[</w:t>
      </w:r>
      <w:r w:rsidR="00BF342A" w:rsidRPr="00BF342A">
        <w:rPr>
          <w:noProof/>
          <w:lang w:eastAsia="ja-JP"/>
        </w:rPr>
        <w:t>ANROWS</w:t>
      </w:r>
      <w:r w:rsidR="00B5165A">
        <w:rPr>
          <w:noProof/>
          <w:lang w:eastAsia="ja-JP"/>
        </w:rPr>
        <w:t>]</w:t>
      </w:r>
      <w:r w:rsidR="00BF342A" w:rsidRPr="00BF342A">
        <w:rPr>
          <w:noProof/>
          <w:lang w:eastAsia="ja-JP"/>
        </w:rPr>
        <w:t>, 2019)</w:t>
      </w:r>
      <w:r w:rsidR="00BF342A">
        <w:rPr>
          <w:lang w:eastAsia="ja-JP"/>
        </w:rPr>
        <w:fldChar w:fldCharType="end"/>
      </w:r>
      <w:r w:rsidR="003F5E5F">
        <w:rPr>
          <w:lang w:eastAsia="ja-JP"/>
        </w:rPr>
        <w:t xml:space="preserve">. The </w:t>
      </w:r>
      <w:r w:rsidR="001B08F0">
        <w:rPr>
          <w:lang w:eastAsia="ja-JP"/>
        </w:rPr>
        <w:t>risk</w:t>
      </w:r>
      <w:r w:rsidR="003F5E5F">
        <w:rPr>
          <w:lang w:eastAsia="ja-JP"/>
        </w:rPr>
        <w:t xml:space="preserve"> of SVH over a woman’s life </w:t>
      </w:r>
      <w:r w:rsidR="00B67FA0">
        <w:rPr>
          <w:lang w:eastAsia="ja-JP"/>
        </w:rPr>
        <w:t xml:space="preserve">can </w:t>
      </w:r>
      <w:r w:rsidR="003F5E5F">
        <w:rPr>
          <w:lang w:eastAsia="ja-JP"/>
        </w:rPr>
        <w:t>impact on her mobility, how she navigates within the community, the workplace, and in the family and relationships. To engage with this complexity, it is necessary for research to consider options for SVH primary prevention across all the mechanisms that drive, facilitate and support SVH offending within a wide range of settings.</w:t>
      </w:r>
      <w:r w:rsidR="00D80C22" w:rsidRPr="00D80C22">
        <w:rPr>
          <w:lang w:eastAsia="ja-JP"/>
        </w:rPr>
        <w:t xml:space="preserve"> </w:t>
      </w:r>
      <w:r w:rsidR="00D80C22">
        <w:rPr>
          <w:lang w:eastAsia="ja-JP"/>
        </w:rPr>
        <w:t>Primary prevention of SVH refers to a whole-of-population approach that addresses the underlying causes of SVH and stopping it before it starts.</w:t>
      </w:r>
    </w:p>
    <w:p w14:paraId="7BCBB54B" w14:textId="37B72DEB" w:rsidR="003F5E5F" w:rsidRDefault="003F5E5F" w:rsidP="003F5E5F">
      <w:pPr>
        <w:pStyle w:val="LTU-Body10pt"/>
      </w:pPr>
      <w:r>
        <w:rPr>
          <w:lang w:eastAsia="ja-JP"/>
        </w:rPr>
        <w:t xml:space="preserve">Under the </w:t>
      </w:r>
      <w:r>
        <w:rPr>
          <w:rFonts w:ascii="Roboto-Italic" w:hAnsi="Roboto-Italic" w:cs="Roboto-Italic"/>
          <w:i/>
          <w:iCs/>
          <w:lang w:eastAsia="ja-JP"/>
        </w:rPr>
        <w:t xml:space="preserve">National Plan to Reduce Violence against Women and Their Children 2010–2022 </w:t>
      </w:r>
      <w:r w:rsidR="0073239A">
        <w:rPr>
          <w:rFonts w:ascii="Roboto-Italic" w:hAnsi="Roboto-Italic" w:cs="Roboto-Italic"/>
          <w:i/>
          <w:iCs/>
          <w:lang w:eastAsia="ja-JP"/>
        </w:rPr>
        <w:fldChar w:fldCharType="begin" w:fldLock="1"/>
      </w:r>
      <w:r w:rsidR="00677D23">
        <w:rPr>
          <w:rFonts w:ascii="Roboto-Italic" w:hAnsi="Roboto-Italic" w:cs="Roboto-Italic"/>
          <w:i/>
          <w:iCs/>
          <w:lang w:eastAsia="ja-JP"/>
        </w:rPr>
        <w:instrText>ADDIN CSL_CITATION {"citationItems":[{"id":"ITEM-1","itemData":{"author":[{"dropping-particle":"","family":"Council of Australian Governments","given":"","non-dropping-particle":"","parse-names":false,"suffix":""}],"id":"ITEM-1","issued":{"date-parts":[["2011"]]},"publisher":"COAG","publisher-place":"Canberra","title":"National plan to reduce VAW and their children: Including the first three-year action plan","type":"report"},"uris":["http://www.mendeley.com/documents/?uuid=95a139e5-a01a-3b2d-878e-dc47ca7e2faa"]}],"mendeley":{"formattedCitation":"(Council of Australian Governments, 2011)","plainTextFormattedCitation":"(Council of Australian Governments, 2011)","previouslyFormattedCitation":"(Council of Australian Governments, 2011)"},"properties":{"noteIndex":0},"schema":"https://github.com/citation-style-language/schema/raw/master/csl-citation.json"}</w:instrText>
      </w:r>
      <w:r w:rsidR="0073239A">
        <w:rPr>
          <w:rFonts w:ascii="Roboto-Italic" w:hAnsi="Roboto-Italic" w:cs="Roboto-Italic"/>
          <w:i/>
          <w:iCs/>
          <w:lang w:eastAsia="ja-JP"/>
        </w:rPr>
        <w:fldChar w:fldCharType="separate"/>
      </w:r>
      <w:r w:rsidR="0073239A" w:rsidRPr="0073239A">
        <w:rPr>
          <w:rFonts w:ascii="Roboto-Italic" w:hAnsi="Roboto-Italic" w:cs="Roboto-Italic"/>
          <w:iCs/>
          <w:noProof/>
          <w:lang w:eastAsia="ja-JP"/>
        </w:rPr>
        <w:t>(Council of Australian Governments, 2011)</w:t>
      </w:r>
      <w:r w:rsidR="0073239A">
        <w:rPr>
          <w:rFonts w:ascii="Roboto-Italic" w:hAnsi="Roboto-Italic" w:cs="Roboto-Italic"/>
          <w:i/>
          <w:iCs/>
          <w:lang w:eastAsia="ja-JP"/>
        </w:rPr>
        <w:fldChar w:fldCharType="end"/>
      </w:r>
      <w:r w:rsidR="00B5165A">
        <w:rPr>
          <w:rFonts w:ascii="Roboto-Italic" w:hAnsi="Roboto-Italic" w:cs="Roboto-Italic"/>
          <w:iCs/>
          <w:lang w:eastAsia="ja-JP"/>
        </w:rPr>
        <w:t>,</w:t>
      </w:r>
      <w:r w:rsidR="0073239A">
        <w:rPr>
          <w:rFonts w:ascii="Roboto-Italic" w:hAnsi="Roboto-Italic" w:cs="Roboto-Italic"/>
          <w:i/>
          <w:iCs/>
          <w:lang w:eastAsia="ja-JP"/>
        </w:rPr>
        <w:t xml:space="preserve"> </w:t>
      </w:r>
      <w:r>
        <w:rPr>
          <w:lang w:eastAsia="ja-JP"/>
        </w:rPr>
        <w:t>the Australian Government is committed to a program of work focused on the prevention of violence against women</w:t>
      </w:r>
      <w:r w:rsidR="00FB3ECD">
        <w:rPr>
          <w:lang w:eastAsia="ja-JP"/>
        </w:rPr>
        <w:t xml:space="preserve"> (VAW)</w:t>
      </w:r>
      <w:r>
        <w:rPr>
          <w:lang w:eastAsia="ja-JP"/>
        </w:rPr>
        <w:t xml:space="preserve">, with sexual violence as a key priority in </w:t>
      </w:r>
      <w:r w:rsidRPr="00C752E2">
        <w:rPr>
          <w:i/>
          <w:iCs/>
          <w:lang w:eastAsia="ja-JP"/>
        </w:rPr>
        <w:t xml:space="preserve">The Fourth Action Plan </w:t>
      </w:r>
      <w:r>
        <w:rPr>
          <w:lang w:eastAsia="ja-JP"/>
        </w:rPr>
        <w:t xml:space="preserve">(2019–2022). </w:t>
      </w:r>
    </w:p>
    <w:p w14:paraId="5C6C57B7" w14:textId="419CA9F2" w:rsidR="003D5CA0" w:rsidRPr="00FE7BBA" w:rsidRDefault="00ED2FD1" w:rsidP="0072145A">
      <w:pPr>
        <w:pStyle w:val="LTU-Body10pt"/>
      </w:pPr>
      <w:r w:rsidRPr="00FE7BBA">
        <w:t>The Australian Government Department of Social Services commissioned this project to</w:t>
      </w:r>
      <w:r w:rsidR="0072145A" w:rsidRPr="10AE549A">
        <w:rPr>
          <w:rFonts w:cs="Roboto-Regular"/>
          <w:lang w:eastAsia="ja-JP"/>
        </w:rPr>
        <w:t xml:space="preserve"> identify effective primary prevention SVH interventions and analyse other forms of data that may inform a Theory of Change</w:t>
      </w:r>
      <w:r w:rsidR="00A1407B" w:rsidRPr="10AE549A">
        <w:rPr>
          <w:rFonts w:cs="Roboto-Regular"/>
          <w:lang w:eastAsia="ja-JP"/>
        </w:rPr>
        <w:t xml:space="preserve"> </w:t>
      </w:r>
      <w:r w:rsidR="0072145A" w:rsidRPr="10AE549A">
        <w:rPr>
          <w:rFonts w:cs="Roboto-Regular"/>
          <w:lang w:eastAsia="ja-JP"/>
        </w:rPr>
        <w:t>and future research on the primary prevention of SVH</w:t>
      </w:r>
      <w:r w:rsidR="00A1407B" w:rsidRPr="10AE549A">
        <w:rPr>
          <w:rFonts w:cs="Roboto-Regular"/>
          <w:lang w:eastAsia="ja-JP"/>
        </w:rPr>
        <w:t xml:space="preserve">. </w:t>
      </w:r>
      <w:r w:rsidR="00CF67D4" w:rsidRPr="00FE7BBA">
        <w:t>This project aim</w:t>
      </w:r>
      <w:r w:rsidR="1DDB8B26" w:rsidRPr="00FE7BBA">
        <w:t>ed</w:t>
      </w:r>
      <w:r w:rsidR="00CF67D4" w:rsidRPr="00FE7BBA">
        <w:t xml:space="preserve"> to</w:t>
      </w:r>
      <w:r w:rsidR="003D5CA0" w:rsidRPr="00FE7BBA">
        <w:t>:</w:t>
      </w:r>
    </w:p>
    <w:p w14:paraId="73E73B67" w14:textId="77777777" w:rsidR="0099141F" w:rsidRDefault="6B223738" w:rsidP="006F1C63">
      <w:pPr>
        <w:pStyle w:val="LTU-Bullets10pt"/>
      </w:pPr>
      <w:r w:rsidRPr="006F1C63">
        <w:t>identify</w:t>
      </w:r>
      <w:r w:rsidR="003D5CA0" w:rsidRPr="00BD1159">
        <w:t xml:space="preserve">, from the international and national literature, a broad range of high quality </w:t>
      </w:r>
      <w:r w:rsidR="003D5CA0" w:rsidRPr="00BD1159">
        <w:rPr>
          <w:b/>
          <w:bCs/>
        </w:rPr>
        <w:t xml:space="preserve">evaluated and effective primary prevention strategies </w:t>
      </w:r>
      <w:r w:rsidR="003D5CA0" w:rsidRPr="00BD1159">
        <w:t xml:space="preserve">that address key drivers and risk factors (at all levels) for sexual violence </w:t>
      </w:r>
    </w:p>
    <w:p w14:paraId="5237DEA0" w14:textId="33474F61" w:rsidR="0099141F" w:rsidRDefault="3E52F1C4" w:rsidP="006F1C63">
      <w:pPr>
        <w:pStyle w:val="LTU-Bulletssub10pt"/>
      </w:pPr>
      <w:r w:rsidRPr="0099141F">
        <w:t>e</w:t>
      </w:r>
      <w:r w:rsidR="003D5CA0" w:rsidRPr="0099141F">
        <w:t>xplore</w:t>
      </w:r>
      <w:r w:rsidR="68DCC780" w:rsidRPr="0099141F">
        <w:t xml:space="preserve"> </w:t>
      </w:r>
      <w:r w:rsidR="003D5CA0" w:rsidRPr="0099141F">
        <w:t xml:space="preserve">and prioritise </w:t>
      </w:r>
      <w:r w:rsidR="003D5CA0" w:rsidRPr="0099141F">
        <w:rPr>
          <w:b/>
          <w:bCs/>
        </w:rPr>
        <w:t>high</w:t>
      </w:r>
      <w:r w:rsidR="00ED1C7A" w:rsidRPr="0099141F">
        <w:rPr>
          <w:b/>
          <w:bCs/>
        </w:rPr>
        <w:t>-</w:t>
      </w:r>
      <w:r w:rsidR="003D5CA0" w:rsidRPr="0099141F">
        <w:rPr>
          <w:b/>
          <w:bCs/>
        </w:rPr>
        <w:t xml:space="preserve">risk cohorts/target audience </w:t>
      </w:r>
      <w:r w:rsidR="003D5CA0" w:rsidRPr="0099141F">
        <w:t xml:space="preserve">(perpetrators and victims) for policy intervention, assessing barriers and enablers to engaging with primary prevention work </w:t>
      </w:r>
      <w:bookmarkStart w:id="33" w:name="_Hlk42176165"/>
    </w:p>
    <w:p w14:paraId="2731C8D5" w14:textId="52912E5A" w:rsidR="0099141F" w:rsidRDefault="00ED45EA" w:rsidP="006F1C63">
      <w:pPr>
        <w:pStyle w:val="LTU-Bulletssub10pt"/>
      </w:pPr>
      <w:r w:rsidRPr="0099141F">
        <w:rPr>
          <w:b/>
          <w:bCs/>
        </w:rPr>
        <w:t xml:space="preserve">synthesise </w:t>
      </w:r>
      <w:bookmarkEnd w:id="33"/>
      <w:r w:rsidRPr="0099141F">
        <w:rPr>
          <w:b/>
          <w:bCs/>
        </w:rPr>
        <w:t xml:space="preserve">data </w:t>
      </w:r>
      <w:r w:rsidRPr="0099141F">
        <w:t>to identify the extent of sexual violence, levels of awareness, and attitudes and behaviours in relation to sexual violence</w:t>
      </w:r>
    </w:p>
    <w:p w14:paraId="36116EDD" w14:textId="5A374DF9" w:rsidR="0099141F" w:rsidRDefault="09CB2380" w:rsidP="006F1C63">
      <w:pPr>
        <w:pStyle w:val="LTU-Bulletssub10pt"/>
      </w:pPr>
      <w:r w:rsidRPr="0099141F">
        <w:t xml:space="preserve">identify Australian SVH data collection and </w:t>
      </w:r>
      <w:r w:rsidRPr="0099141F">
        <w:rPr>
          <w:b/>
          <w:bCs/>
        </w:rPr>
        <w:t>reporting gaps</w:t>
      </w:r>
    </w:p>
    <w:p w14:paraId="4E6C0840" w14:textId="05671734" w:rsidR="0099141F" w:rsidRDefault="09CB2380" w:rsidP="006F1C63">
      <w:pPr>
        <w:pStyle w:val="LTU-Bulletssub10pt"/>
      </w:pPr>
      <w:r w:rsidRPr="0099141F">
        <w:rPr>
          <w:b/>
          <w:bCs/>
        </w:rPr>
        <w:lastRenderedPageBreak/>
        <w:t xml:space="preserve">consult widely </w:t>
      </w:r>
      <w:r w:rsidRPr="0099141F">
        <w:t>with specialist organisations to ensure findings and recommendations are suitable and meaningful to sexual violence service users and providers</w:t>
      </w:r>
    </w:p>
    <w:p w14:paraId="68A91ABC" w14:textId="22BA69C8" w:rsidR="00BB6E66" w:rsidRPr="0099141F" w:rsidRDefault="00FF2131" w:rsidP="006F1C63">
      <w:pPr>
        <w:pStyle w:val="LTU-Bulletssub10pt"/>
      </w:pPr>
      <w:r w:rsidRPr="0099141F">
        <w:t xml:space="preserve">develop a </w:t>
      </w:r>
      <w:r w:rsidR="6980160D" w:rsidRPr="0099141F">
        <w:t xml:space="preserve">SVH primary prevention </w:t>
      </w:r>
      <w:r w:rsidRPr="0099141F">
        <w:rPr>
          <w:b/>
          <w:bCs/>
        </w:rPr>
        <w:t xml:space="preserve">Theory-of-Change framework </w:t>
      </w:r>
      <w:r w:rsidRPr="0099141F">
        <w:t xml:space="preserve">with stakeholders and </w:t>
      </w:r>
      <w:r w:rsidR="002B4FC1" w:rsidRPr="00FE7BBA">
        <w:t>Department of Social Services</w:t>
      </w:r>
      <w:r w:rsidRPr="0099141F">
        <w:t>, including short- and long-term activities</w:t>
      </w:r>
      <w:r w:rsidR="00B5165A">
        <w:t>.</w:t>
      </w:r>
    </w:p>
    <w:p w14:paraId="7D3C479C" w14:textId="0DF5594B" w:rsidR="005879F3" w:rsidRDefault="0031487F" w:rsidP="005121C0">
      <w:pPr>
        <w:pStyle w:val="LTU-Body10pt"/>
      </w:pPr>
      <w:r>
        <w:t>This</w:t>
      </w:r>
      <w:r w:rsidR="00E67A1E">
        <w:t xml:space="preserve"> research aimed to build on foundational work by Our Watch et al., </w:t>
      </w:r>
      <w:r w:rsidR="00E67A1E" w:rsidRPr="6BD1F231">
        <w:rPr>
          <w:i/>
          <w:iCs/>
        </w:rPr>
        <w:t>Change the Story: A shared framework for the primary prevention of violence against women and their children in Australia</w:t>
      </w:r>
      <w:r w:rsidR="00677D23">
        <w:rPr>
          <w:i/>
          <w:iCs/>
        </w:rPr>
        <w:t xml:space="preserve"> </w:t>
      </w:r>
      <w:r w:rsidR="00677D23">
        <w:rPr>
          <w:i/>
          <w:iCs/>
        </w:rPr>
        <w:fldChar w:fldCharType="begin" w:fldLock="1"/>
      </w:r>
      <w:r w:rsidR="00677D23">
        <w:rPr>
          <w:i/>
          <w:iCs/>
        </w:rPr>
        <w:instrText>ADDIN CSL_CITATION {"citationItems":[{"id":"ITEM-1","itemData":{"author":[{"dropping-particle":"","family":"Our Watch","given":"","non-dropping-particle":"","parse-names":false,"suffix":""},{"dropping-particle":"","family":"VicHealth","given":"","non-dropping-particle":"","parse-names":false,"suffix":""},{"dropping-particle":"","family":"Australia’s National Research Organisation for Women’s Safety (ANROWS)","given":"","non-dropping-particle":"","parse-names":false,"suffix":""}],"id":"ITEM-1","issued":{"date-parts":[["2015"]]},"publisher":"Our Watch","publisher-place":"Melbourne","title":"Change the story: A shared framework for the primary prevention of violence against women and their children in Australia","type":"book"},"suppress-author":1,"uris":["http://www.mendeley.com/documents/?uuid=1ac2cfc8-d99d-352b-bef7-4d255532f942"]}],"mendeley":{"formattedCitation":"(2015)","plainTextFormattedCitation":"(2015)","previouslyFormattedCitation":"(2015)"},"properties":{"noteIndex":0},"schema":"https://github.com/citation-style-language/schema/raw/master/csl-citation.json"}</w:instrText>
      </w:r>
      <w:r w:rsidR="00677D23">
        <w:rPr>
          <w:i/>
          <w:iCs/>
        </w:rPr>
        <w:fldChar w:fldCharType="separate"/>
      </w:r>
      <w:r w:rsidR="00677D23" w:rsidRPr="00677D23">
        <w:rPr>
          <w:iCs/>
          <w:noProof/>
        </w:rPr>
        <w:t>(2015)</w:t>
      </w:r>
      <w:r w:rsidR="00677D23">
        <w:rPr>
          <w:i/>
          <w:iCs/>
        </w:rPr>
        <w:fldChar w:fldCharType="end"/>
      </w:r>
      <w:r w:rsidR="00E67A1E">
        <w:t xml:space="preserve">, </w:t>
      </w:r>
      <w:r w:rsidR="00E67A1E" w:rsidRPr="6BD1F231">
        <w:rPr>
          <w:i/>
          <w:iCs/>
        </w:rPr>
        <w:t>Changing the Picture: A national resource to prevent violence against Aboriginal and Torres Strait Islander women and their children</w:t>
      </w:r>
      <w:r w:rsidR="00E67A1E">
        <w:t xml:space="preserve"> </w:t>
      </w:r>
      <w:r w:rsidR="00677D23">
        <w:fldChar w:fldCharType="begin" w:fldLock="1"/>
      </w:r>
      <w:r w:rsidR="00677D23">
        <w:instrText>ADDIN CSL_CITATION {"citationItems":[{"id":"ITEM-1","itemData":{"author":[{"dropping-particle":"","family":"Our Watch","given":"","non-dropping-particle":"","parse-names":false,"suffix":""}],"id":"ITEM-1","issued":{"date-parts":[["2018"]]},"publisher":"Our Watch","publisher-place":"Melbourne","title":"Changing the picture: A national resource to prevent violence against Aboriginal and Torres Strait Islander women and their children","type":"report"},"suppress-author":1,"uris":["http://www.mendeley.com/documents/?uuid=41677f41-cb76-3073-9d3c-e4d25910fa68"]}],"mendeley":{"formattedCitation":"(2018)","plainTextFormattedCitation":"(2018)","previouslyFormattedCitation":"(2018)"},"properties":{"noteIndex":0},"schema":"https://github.com/citation-style-language/schema/raw/master/csl-citation.json"}</w:instrText>
      </w:r>
      <w:r w:rsidR="00677D23">
        <w:fldChar w:fldCharType="separate"/>
      </w:r>
      <w:r w:rsidR="00677D23" w:rsidRPr="00677D23">
        <w:rPr>
          <w:noProof/>
        </w:rPr>
        <w:t>(2018)</w:t>
      </w:r>
      <w:r w:rsidR="00677D23">
        <w:fldChar w:fldCharType="end"/>
      </w:r>
      <w:r w:rsidR="00677D23">
        <w:t xml:space="preserve"> </w:t>
      </w:r>
      <w:r w:rsidR="00E67A1E">
        <w:t xml:space="preserve">and </w:t>
      </w:r>
      <w:r w:rsidR="00E67A1E" w:rsidRPr="6BD1F231">
        <w:rPr>
          <w:i/>
          <w:iCs/>
        </w:rPr>
        <w:t xml:space="preserve">Men in </w:t>
      </w:r>
      <w:r>
        <w:rPr>
          <w:i/>
          <w:iCs/>
        </w:rPr>
        <w:t>F</w:t>
      </w:r>
      <w:r w:rsidR="00E67A1E" w:rsidRPr="6BD1F231">
        <w:rPr>
          <w:i/>
          <w:iCs/>
        </w:rPr>
        <w:t>ocus: Unpacking masculinities and engaging men in the prevention of violence against women</w:t>
      </w:r>
      <w:r w:rsidR="00677D23">
        <w:t xml:space="preserve"> </w:t>
      </w:r>
      <w:r w:rsidR="00677D23">
        <w:fldChar w:fldCharType="begin" w:fldLock="1"/>
      </w:r>
      <w:r w:rsidR="00AA1994">
        <w:instrText>ADDIN CSL_CITATION {"citationItems":[{"id":"ITEM-1","itemData":{"DOI":"10.1177/030619739700600208","ISSN":"0306-1973","author":[{"dropping-particle":"","family":"Our Watch","given":"","non-dropping-particle":"","parse-names":false,"suffix":""}],"id":"ITEM-1","issued":{"date-parts":[["2019"]]},"publisher":"Our Watch","publisher-place":"Melbourne","title":"Men in focus: Unpacking masculinities and engaging men in the prevention of violence against women","type":"report"},"suppress-author":1,"uris":["http://www.mendeley.com/documents/?uuid=47851b03-7c99-3df0-b57e-3f59a265296d"]}],"mendeley":{"formattedCitation":"(2019b)","plainTextFormattedCitation":"(2019b)","previouslyFormattedCitation":"(2019b)"},"properties":{"noteIndex":0},"schema":"https://github.com/citation-style-language/schema/raw/master/csl-citation.json"}</w:instrText>
      </w:r>
      <w:r w:rsidR="00677D23">
        <w:fldChar w:fldCharType="separate"/>
      </w:r>
      <w:r w:rsidR="00082EEB" w:rsidRPr="00082EEB">
        <w:rPr>
          <w:noProof/>
        </w:rPr>
        <w:t>(2019b)</w:t>
      </w:r>
      <w:r w:rsidR="00677D23">
        <w:fldChar w:fldCharType="end"/>
      </w:r>
      <w:r w:rsidR="00E67A1E">
        <w:t xml:space="preserve">. </w:t>
      </w:r>
    </w:p>
    <w:p w14:paraId="74802049" w14:textId="77777777" w:rsidR="0038598D" w:rsidRPr="0038598D" w:rsidRDefault="0038598D" w:rsidP="00292F96">
      <w:pPr>
        <w:pStyle w:val="Pullouts"/>
        <w:rPr>
          <w:caps/>
        </w:rPr>
      </w:pPr>
      <w:r w:rsidRPr="00D45055">
        <w:t>One in five women have experienced sexual violence from 15 and fifty-three per cent have experienced sexual harassment in their lifetime (</w:t>
      </w:r>
      <w:r>
        <w:t>ABS</w:t>
      </w:r>
      <w:r w:rsidRPr="00D45055">
        <w:t>, 2017).</w:t>
      </w:r>
    </w:p>
    <w:p w14:paraId="5E1703A7" w14:textId="59BC6D1A" w:rsidR="00F60D65" w:rsidRDefault="00F60D65" w:rsidP="00E36091">
      <w:pPr>
        <w:pStyle w:val="LTU-Subhead1"/>
      </w:pPr>
      <w:bookmarkStart w:id="34" w:name="_Toc67035836"/>
      <w:r>
        <w:t>Understanding SVH in Australia</w:t>
      </w:r>
      <w:bookmarkEnd w:id="34"/>
    </w:p>
    <w:p w14:paraId="2A35EF6B" w14:textId="7CE18156" w:rsidR="00630E6C" w:rsidRDefault="00BE2944" w:rsidP="005121C0">
      <w:pPr>
        <w:pStyle w:val="LTU-Body10pt"/>
        <w:rPr>
          <w:rFonts w:eastAsia="Times New Roman"/>
          <w:lang w:eastAsia="en-AU"/>
        </w:rPr>
      </w:pPr>
      <w:r w:rsidRPr="0FB19666">
        <w:rPr>
          <w:rFonts w:eastAsia="Times New Roman"/>
          <w:lang w:eastAsia="en-AU"/>
        </w:rPr>
        <w:t xml:space="preserve">In Australia, the 2016 </w:t>
      </w:r>
      <w:r w:rsidRPr="0031487F">
        <w:rPr>
          <w:rFonts w:eastAsia="Times New Roman"/>
          <w:i/>
          <w:iCs/>
          <w:lang w:eastAsia="en-AU"/>
        </w:rPr>
        <w:t>Personal Safety Survey</w:t>
      </w:r>
      <w:r w:rsidRPr="0FB19666">
        <w:rPr>
          <w:rFonts w:eastAsia="Times New Roman"/>
          <w:lang w:eastAsia="en-AU"/>
        </w:rPr>
        <w:t xml:space="preserve"> (PSS) found that one in five women </w:t>
      </w:r>
      <w:r>
        <w:rPr>
          <w:rFonts w:eastAsia="Times New Roman"/>
          <w:lang w:eastAsia="en-AU"/>
        </w:rPr>
        <w:t xml:space="preserve">have </w:t>
      </w:r>
      <w:r w:rsidRPr="0FB19666">
        <w:rPr>
          <w:rFonts w:eastAsia="Times New Roman"/>
          <w:lang w:eastAsia="en-AU"/>
        </w:rPr>
        <w:t xml:space="preserve">experienced sexual violence since the age of 15, compared to one in </w:t>
      </w:r>
      <w:r>
        <w:rPr>
          <w:rFonts w:eastAsia="Times New Roman"/>
          <w:lang w:eastAsia="en-AU"/>
        </w:rPr>
        <w:t>20</w:t>
      </w:r>
      <w:r w:rsidRPr="0FB19666">
        <w:rPr>
          <w:rFonts w:eastAsia="Times New Roman"/>
          <w:lang w:eastAsia="en-AU"/>
        </w:rPr>
        <w:t xml:space="preserve"> men </w:t>
      </w:r>
      <w:r w:rsidR="00356CB1">
        <w:rPr>
          <w:rFonts w:eastAsia="Times New Roman"/>
          <w:noProof/>
          <w:lang w:eastAsia="en-AU"/>
        </w:rPr>
        <w:fldChar w:fldCharType="begin" w:fldLock="1"/>
      </w:r>
      <w:r w:rsidR="00367D7A">
        <w:rPr>
          <w:rFonts w:eastAsia="Times New Roman"/>
          <w:noProof/>
          <w:lang w:eastAsia="en-AU"/>
        </w:rPr>
        <w:instrText>ADDIN CSL_CITATION {"citationItems":[{"id":"ITEM-1","itemData":{"author":[{"dropping-particle":"","family":"Australian Bureau of Statistics","given":"","non-dropping-particle":"","parse-names":false,"suffix":""}],"id":"ITEM-1","issued":{"date-parts":[["2017"]]},"publisher":"ABS","publisher-place":"Canberra","title":"Personal safety survey","type":"webpage"},"uris":["http://www.mendeley.com/documents/?uuid=172a3764-7791-3e94-85a5-38a944b655c4"]}],"mendeley":{"formattedCitation":"(Australian Bureau of Statistics, 2017)","manualFormatting":"(Australian Bureau of Statistics [ABS], 2017)","plainTextFormattedCitation":"(Australian Bureau of Statistics, 2017)","previouslyFormattedCitation":"(Australian Bureau of Statistics, 2017)"},"properties":{"noteIndex":0},"schema":"https://github.com/citation-style-language/schema/raw/master/csl-citation.json"}</w:instrText>
      </w:r>
      <w:r w:rsidR="00356CB1">
        <w:rPr>
          <w:rFonts w:eastAsia="Times New Roman"/>
          <w:noProof/>
          <w:lang w:eastAsia="en-AU"/>
        </w:rPr>
        <w:fldChar w:fldCharType="separate"/>
      </w:r>
      <w:r w:rsidR="00356CB1" w:rsidRPr="00356CB1">
        <w:rPr>
          <w:rFonts w:eastAsia="Times New Roman"/>
          <w:noProof/>
          <w:lang w:eastAsia="en-AU"/>
        </w:rPr>
        <w:t>(</w:t>
      </w:r>
      <w:r w:rsidR="007610AD">
        <w:rPr>
          <w:rFonts w:eastAsia="Times New Roman"/>
          <w:noProof/>
          <w:lang w:eastAsia="en-AU"/>
        </w:rPr>
        <w:t>Australian Bur</w:t>
      </w:r>
      <w:r w:rsidR="00F727A1">
        <w:rPr>
          <w:rFonts w:eastAsia="Times New Roman"/>
          <w:noProof/>
          <w:lang w:eastAsia="en-AU"/>
        </w:rPr>
        <w:t xml:space="preserve">eau of Statistics </w:t>
      </w:r>
      <w:r w:rsidR="0010676B">
        <w:rPr>
          <w:rFonts w:eastAsia="Times New Roman"/>
          <w:noProof/>
          <w:lang w:eastAsia="en-AU"/>
        </w:rPr>
        <w:t>[</w:t>
      </w:r>
      <w:r w:rsidR="00356CB1" w:rsidRPr="00356CB1">
        <w:rPr>
          <w:rFonts w:eastAsia="Times New Roman"/>
          <w:noProof/>
          <w:lang w:eastAsia="en-AU"/>
        </w:rPr>
        <w:t>ABS</w:t>
      </w:r>
      <w:r w:rsidR="0010676B">
        <w:rPr>
          <w:rFonts w:eastAsia="Times New Roman"/>
          <w:noProof/>
          <w:lang w:eastAsia="en-AU"/>
        </w:rPr>
        <w:t>]</w:t>
      </w:r>
      <w:r w:rsidR="00356CB1" w:rsidRPr="00356CB1">
        <w:rPr>
          <w:rFonts w:eastAsia="Times New Roman"/>
          <w:noProof/>
          <w:lang w:eastAsia="en-AU"/>
        </w:rPr>
        <w:t>, 2017)</w:t>
      </w:r>
      <w:r w:rsidR="00356CB1">
        <w:rPr>
          <w:rFonts w:eastAsia="Times New Roman"/>
          <w:noProof/>
          <w:lang w:eastAsia="en-AU"/>
        </w:rPr>
        <w:fldChar w:fldCharType="end"/>
      </w:r>
      <w:r w:rsidRPr="0FB19666">
        <w:rPr>
          <w:rFonts w:eastAsia="Times New Roman"/>
          <w:lang w:eastAsia="en-AU"/>
        </w:rPr>
        <w:t>. Fifty-three per</w:t>
      </w:r>
      <w:r>
        <w:rPr>
          <w:rFonts w:eastAsia="Times New Roman"/>
          <w:lang w:eastAsia="en-AU"/>
        </w:rPr>
        <w:t xml:space="preserve"> </w:t>
      </w:r>
      <w:r w:rsidRPr="0FB19666">
        <w:rPr>
          <w:rFonts w:eastAsia="Times New Roman"/>
          <w:lang w:eastAsia="en-AU"/>
        </w:rPr>
        <w:t xml:space="preserve">cent of women have experienced sexual harassment in their lifetime compared to 25% of men </w:t>
      </w:r>
      <w:r w:rsidRPr="0FB19666">
        <w:rPr>
          <w:rFonts w:eastAsia="Times New Roman"/>
          <w:noProof/>
          <w:lang w:eastAsia="en-AU"/>
        </w:rPr>
        <w:t>(</w:t>
      </w:r>
      <w:r w:rsidR="00A70091">
        <w:rPr>
          <w:rFonts w:eastAsia="Times New Roman"/>
          <w:noProof/>
          <w:lang w:eastAsia="en-AU"/>
        </w:rPr>
        <w:t>ABS</w:t>
      </w:r>
      <w:r w:rsidRPr="0FB19666">
        <w:rPr>
          <w:rFonts w:eastAsia="Times New Roman"/>
          <w:noProof/>
          <w:lang w:eastAsia="en-AU"/>
        </w:rPr>
        <w:t>, 2017)</w:t>
      </w:r>
      <w:r w:rsidRPr="0FB19666">
        <w:rPr>
          <w:rFonts w:eastAsia="Times New Roman"/>
          <w:lang w:eastAsia="en-AU"/>
        </w:rPr>
        <w:t>.</w:t>
      </w:r>
    </w:p>
    <w:p w14:paraId="75785253" w14:textId="48490C70" w:rsidR="000E3F47" w:rsidRDefault="000E3F47" w:rsidP="000E3F47">
      <w:pPr>
        <w:pStyle w:val="LTU-Body10pt"/>
        <w:rPr>
          <w:lang w:eastAsia="ja-JP"/>
        </w:rPr>
      </w:pPr>
      <w:r>
        <w:rPr>
          <w:lang w:eastAsia="ja-JP"/>
        </w:rPr>
        <w:t>Given the gendered nature of sexual violence, this report situates SVH as a gender-based issue</w:t>
      </w:r>
      <w:r w:rsidR="003649A2">
        <w:rPr>
          <w:lang w:eastAsia="ja-JP"/>
        </w:rPr>
        <w:t xml:space="preserve">. </w:t>
      </w:r>
      <w:r>
        <w:rPr>
          <w:lang w:eastAsia="ja-JP"/>
        </w:rPr>
        <w:t>While men do experience SVH from other men and in some instances from women, the majority of SVH is experienced by women and perpetrated by men</w:t>
      </w:r>
      <w:r w:rsidR="00367D7A">
        <w:rPr>
          <w:lang w:eastAsia="ja-JP"/>
        </w:rPr>
        <w:t xml:space="preserve"> </w:t>
      </w:r>
      <w:r w:rsidR="00367D7A">
        <w:rPr>
          <w:rStyle w:val="FootnoteReference"/>
          <w:lang w:eastAsia="ja-JP"/>
        </w:rPr>
        <w:fldChar w:fldCharType="begin" w:fldLock="1"/>
      </w:r>
      <w:r w:rsidR="00F41A4E">
        <w:rPr>
          <w:lang w:eastAsia="ja-JP"/>
        </w:rPr>
        <w:instrText>ADDIN CSL_CITATION {"citationItems":[{"id":"ITEM-1","itemData":{"author":[{"dropping-particle":"","family":"Our Watch","given":"","non-dropping-particle":"","parse-names":false,"suffix":""},{"dropping-particle":"","family":"VicHealth","given":"","non-dropping-particle":"","parse-names":false,"suffix":""},{"dropping-particle":"","family":"Australia’s National Research Organisation for Women’s Safety (ANROWS)","given":"","non-dropping-particle":"","parse-names":false,"suffix":""}],"id":"ITEM-1","issued":{"date-parts":[["2015"]]},"publisher":"Our Watch","publisher-place":"Melbourne","title":"Change the story: A shared framework for the primary prevention of violence against women and their children in Australia","type":"book"},"uris":["http://www.mendeley.com/documents/?uuid=1ac2cfc8-d99d-352b-bef7-4d255532f942"]},{"id":"ITEM-2","itemData":{"author":[{"dropping-particle":"","family":"World Health Organization","given":"","non-dropping-particle":"","parse-names":false,"suffix":""}],"id":"ITEM-2","issued":{"date-parts":[["2013"]]},"publisher":"WHO","publisher-place":"Geneva","title":"Responding to intimate partner violence and sexual violence against women WHO clinical and policy guidelines","type":"report"},"uris":["http://www.mendeley.com/documents/?uuid=d3c7fa2b-b2e3-37e5-b402-1995658b8fe3"]}],"mendeley":{"formattedCitation":"(Our Watch et al., 2015; World Health Organization, 2013)","plainTextFormattedCitation":"(Our Watch et al., 2015; World Health Organization, 2013)","previouslyFormattedCitation":"(Our Watch et al., 2015; World Health Organization, 2013)"},"properties":{"noteIndex":0},"schema":"https://github.com/citation-style-language/schema/raw/master/csl-citation.json"}</w:instrText>
      </w:r>
      <w:r w:rsidR="00367D7A">
        <w:rPr>
          <w:rStyle w:val="FootnoteReference"/>
          <w:lang w:eastAsia="ja-JP"/>
        </w:rPr>
        <w:fldChar w:fldCharType="separate"/>
      </w:r>
      <w:r w:rsidR="00367D7A" w:rsidRPr="00367D7A">
        <w:rPr>
          <w:noProof/>
          <w:lang w:eastAsia="ja-JP"/>
        </w:rPr>
        <w:t>(Our Watch et al., 2015; World Health Organization, 2013)</w:t>
      </w:r>
      <w:r w:rsidR="00367D7A">
        <w:rPr>
          <w:rStyle w:val="FootnoteReference"/>
          <w:lang w:eastAsia="ja-JP"/>
        </w:rPr>
        <w:fldChar w:fldCharType="end"/>
      </w:r>
      <w:r>
        <w:rPr>
          <w:lang w:eastAsia="ja-JP"/>
        </w:rPr>
        <w:t xml:space="preserve">. </w:t>
      </w:r>
      <w:r w:rsidR="002E1D0A">
        <w:rPr>
          <w:lang w:eastAsia="ja-JP"/>
        </w:rPr>
        <w:t>T</w:t>
      </w:r>
      <w:r>
        <w:rPr>
          <w:lang w:eastAsia="ja-JP"/>
        </w:rPr>
        <w:t xml:space="preserve">he most recent report from the </w:t>
      </w:r>
      <w:r w:rsidR="00E75E23">
        <w:rPr>
          <w:lang w:eastAsia="ja-JP"/>
        </w:rPr>
        <w:t>AIHW</w:t>
      </w:r>
      <w:r>
        <w:rPr>
          <w:lang w:eastAsia="ja-JP"/>
        </w:rPr>
        <w:t xml:space="preserve"> </w:t>
      </w:r>
      <w:r w:rsidR="00A70091">
        <w:rPr>
          <w:lang w:eastAsia="ja-JP"/>
        </w:rPr>
        <w:fldChar w:fldCharType="begin" w:fldLock="1"/>
      </w:r>
      <w:r w:rsidR="00A96678">
        <w:rPr>
          <w:lang w:eastAsia="ja-JP"/>
        </w:rPr>
        <w:instrText>ADDIN CSL_CITATION {"citationItems":[{"id":"ITEM-1","itemData":{"author":[{"dropping-particle":"","family":"Australian Institute of Health and Welfare","given":"","non-dropping-particle":"","parse-names":false,"suffix":""}],"id":"ITEM-1","issued":{"date-parts":[["2020"]]},"publisher":"AIHW","publisher-place":"Canberra","title":"Sexual assault in Australia","type":"report"},"suppress-author":1,"uris":["http://www.mendeley.com/documents/?uuid=034ba693-a12b-38b6-af92-212d46150e24"]}],"mendeley":{"formattedCitation":"(2020b)","plainTextFormattedCitation":"(2020b)","previouslyFormattedCitation":"(2020b)"},"properties":{"noteIndex":0},"schema":"https://github.com/citation-style-language/schema/raw/master/csl-citation.json"}</w:instrText>
      </w:r>
      <w:r w:rsidR="00A70091">
        <w:rPr>
          <w:lang w:eastAsia="ja-JP"/>
        </w:rPr>
        <w:fldChar w:fldCharType="separate"/>
      </w:r>
      <w:r w:rsidR="00A70091" w:rsidRPr="00A70091">
        <w:rPr>
          <w:noProof/>
          <w:lang w:eastAsia="ja-JP"/>
        </w:rPr>
        <w:t>(2020b)</w:t>
      </w:r>
      <w:r w:rsidR="00A70091">
        <w:rPr>
          <w:lang w:eastAsia="ja-JP"/>
        </w:rPr>
        <w:fldChar w:fldCharType="end"/>
      </w:r>
      <w:r>
        <w:rPr>
          <w:lang w:eastAsia="ja-JP"/>
        </w:rPr>
        <w:t xml:space="preserve"> stated that up to 97% of perpetrators</w:t>
      </w:r>
      <w:r w:rsidR="0041422D">
        <w:rPr>
          <w:lang w:eastAsia="ja-JP"/>
        </w:rPr>
        <w:t xml:space="preserve"> of sexual violence</w:t>
      </w:r>
      <w:r>
        <w:rPr>
          <w:lang w:eastAsia="ja-JP"/>
        </w:rPr>
        <w:t xml:space="preserve"> are men. The report also notes that women account for nine in 10 (93%) cases where the </w:t>
      </w:r>
      <w:r w:rsidR="002B4FC1">
        <w:rPr>
          <w:lang w:eastAsia="ja-JP"/>
        </w:rPr>
        <w:t xml:space="preserve">sexual violence </w:t>
      </w:r>
      <w:r>
        <w:rPr>
          <w:lang w:eastAsia="ja-JP"/>
        </w:rPr>
        <w:t>victim</w:t>
      </w:r>
      <w:r w:rsidR="0010676B">
        <w:rPr>
          <w:lang w:eastAsia="ja-JP"/>
        </w:rPr>
        <w:t>–</w:t>
      </w:r>
      <w:r>
        <w:rPr>
          <w:lang w:eastAsia="ja-JP"/>
        </w:rPr>
        <w:t>survivor was hospitalised</w:t>
      </w:r>
      <w:r w:rsidR="00A96678">
        <w:rPr>
          <w:lang w:eastAsia="ja-JP"/>
        </w:rPr>
        <w:t xml:space="preserve"> </w:t>
      </w:r>
      <w:r w:rsidR="00A96678">
        <w:rPr>
          <w:lang w:eastAsia="ja-JP"/>
        </w:rPr>
        <w:fldChar w:fldCharType="begin" w:fldLock="1"/>
      </w:r>
      <w:r w:rsidR="00E75E23">
        <w:rPr>
          <w:lang w:eastAsia="ja-JP"/>
        </w:rPr>
        <w:instrText>ADDIN CSL_CITATION {"citationItems":[{"id":"ITEM-1","itemData":{"author":[{"dropping-particle":"","family":"Australian Institute of Health and Welfare","given":"","non-dropping-particle":"","parse-names":false,"suffix":""}],"id":"ITEM-1","issued":{"date-parts":[["2020"]]},"publisher":"AIHW","publisher-place":"Canberra","title":"Sexual assault in Australia","type":"report"},"uris":["http://www.mendeley.com/documents/?uuid=034ba693-a12b-38b6-af92-212d46150e24"]}],"mendeley":{"formattedCitation":"(Australian Institute of Health and Welfare, 2020b)","manualFormatting":"(AIHW, 2020b)","plainTextFormattedCitation":"(Australian Institute of Health and Welfare, 2020b)","previouslyFormattedCitation":"(Australian Institute of Health and Welfare, 2020b)"},"properties":{"noteIndex":0},"schema":"https://github.com/citation-style-language/schema/raw/master/csl-citation.json"}</w:instrText>
      </w:r>
      <w:r w:rsidR="00A96678">
        <w:rPr>
          <w:lang w:eastAsia="ja-JP"/>
        </w:rPr>
        <w:fldChar w:fldCharType="separate"/>
      </w:r>
      <w:r w:rsidR="00A96678" w:rsidRPr="00A96678">
        <w:rPr>
          <w:noProof/>
          <w:lang w:eastAsia="ja-JP"/>
        </w:rPr>
        <w:t>(A</w:t>
      </w:r>
      <w:r w:rsidR="00E75E23">
        <w:rPr>
          <w:noProof/>
          <w:lang w:eastAsia="ja-JP"/>
        </w:rPr>
        <w:t>IHW</w:t>
      </w:r>
      <w:r w:rsidR="00A96678" w:rsidRPr="00A96678">
        <w:rPr>
          <w:noProof/>
          <w:lang w:eastAsia="ja-JP"/>
        </w:rPr>
        <w:t>, 2020b)</w:t>
      </w:r>
      <w:r w:rsidR="00A96678">
        <w:rPr>
          <w:lang w:eastAsia="ja-JP"/>
        </w:rPr>
        <w:fldChar w:fldCharType="end"/>
      </w:r>
      <w:r>
        <w:rPr>
          <w:lang w:eastAsia="ja-JP"/>
        </w:rPr>
        <w:t>.</w:t>
      </w:r>
    </w:p>
    <w:p w14:paraId="2B2765DD" w14:textId="758FCF9C" w:rsidR="000E3F47" w:rsidRDefault="000E3F47" w:rsidP="000E3F47">
      <w:pPr>
        <w:pStyle w:val="LTU-Body10pt"/>
        <w:rPr>
          <w:lang w:eastAsia="ja-JP"/>
        </w:rPr>
      </w:pPr>
      <w:r>
        <w:rPr>
          <w:lang w:eastAsia="ja-JP"/>
        </w:rPr>
        <w:t>Our Watch</w:t>
      </w:r>
      <w:r w:rsidR="006515FF">
        <w:rPr>
          <w:lang w:eastAsia="ja-JP"/>
        </w:rPr>
        <w:t xml:space="preserve"> </w:t>
      </w:r>
      <w:r w:rsidR="00AD2241">
        <w:rPr>
          <w:lang w:eastAsia="ja-JP"/>
        </w:rPr>
        <w:fldChar w:fldCharType="begin" w:fldLock="1"/>
      </w:r>
      <w:r w:rsidR="00AA1994">
        <w:rPr>
          <w:lang w:eastAsia="ja-JP"/>
        </w:rPr>
        <w:instrText>ADDIN CSL_CITATION {"citationItems":[{"id":"ITEM-1","itemData":{"DOI":"10.1177/030619739700600208","ISSN":"0306-1973","author":[{"dropping-particle":"","family":"Our Watch","given":"","non-dropping-particle":"","parse-names":false,"suffix":""}],"id":"ITEM-1","issued":{"date-parts":[["2019"]]},"publisher":"Our Watch","publisher-place":"Melbourne","title":"Men in focus: Unpacking masculinities and engaging men in the prevention of violence against women","type":"report"},"locator":"13","suppress-author":1,"uris":["http://www.mendeley.com/documents/?uuid=47851b03-7c99-3df0-b57e-3f59a265296d"]}],"mendeley":{"formattedCitation":"(2019b, p. 13)","plainTextFormattedCitation":"(2019b, p. 13)","previouslyFormattedCitation":"(2019b, p. 13)"},"properties":{"noteIndex":0},"schema":"https://github.com/citation-style-language/schema/raw/master/csl-citation.json"}</w:instrText>
      </w:r>
      <w:r w:rsidR="00AD2241">
        <w:rPr>
          <w:lang w:eastAsia="ja-JP"/>
        </w:rPr>
        <w:fldChar w:fldCharType="separate"/>
      </w:r>
      <w:r w:rsidR="00082EEB" w:rsidRPr="00082EEB">
        <w:rPr>
          <w:noProof/>
          <w:lang w:eastAsia="ja-JP"/>
        </w:rPr>
        <w:t>(2019b, p. 13)</w:t>
      </w:r>
      <w:r w:rsidR="00AD2241">
        <w:rPr>
          <w:lang w:eastAsia="ja-JP"/>
        </w:rPr>
        <w:fldChar w:fldCharType="end"/>
      </w:r>
      <w:r>
        <w:rPr>
          <w:lang w:eastAsia="ja-JP"/>
        </w:rPr>
        <w:t xml:space="preserve"> </w:t>
      </w:r>
      <w:r w:rsidR="002B4FC1">
        <w:rPr>
          <w:lang w:eastAsia="ja-JP"/>
        </w:rPr>
        <w:t>states</w:t>
      </w:r>
      <w:r w:rsidR="00AC05CC">
        <w:rPr>
          <w:lang w:eastAsia="ja-JP"/>
        </w:rPr>
        <w:t xml:space="preserve"> </w:t>
      </w:r>
      <w:r>
        <w:rPr>
          <w:lang w:eastAsia="ja-JP"/>
        </w:rPr>
        <w:t xml:space="preserve">that “gender inequality underpins violence against women. Thus, primary prevention efforts aim to address the gendered drivers of </w:t>
      </w:r>
      <w:r w:rsidR="00FB3ECD">
        <w:rPr>
          <w:lang w:eastAsia="ja-JP"/>
        </w:rPr>
        <w:t>VAW</w:t>
      </w:r>
      <w:r>
        <w:rPr>
          <w:lang w:eastAsia="ja-JP"/>
        </w:rPr>
        <w:t>, including the structures, norms and practices that maintain a gender unequal society”</w:t>
      </w:r>
      <w:r w:rsidR="00593DDE">
        <w:rPr>
          <w:lang w:eastAsia="ja-JP"/>
        </w:rPr>
        <w:t>.</w:t>
      </w:r>
      <w:r>
        <w:rPr>
          <w:lang w:eastAsia="ja-JP"/>
        </w:rPr>
        <w:t xml:space="preserve"> A gender-based approach is warranted to explore interventions to prevent SVH. Therefore, this research focuses on men’s perpetration of SVH towards women and girls from the age of five years. Child sex</w:t>
      </w:r>
      <w:r w:rsidR="000F1F85">
        <w:rPr>
          <w:lang w:eastAsia="ja-JP"/>
        </w:rPr>
        <w:t>ual</w:t>
      </w:r>
      <w:r>
        <w:rPr>
          <w:lang w:eastAsia="ja-JP"/>
        </w:rPr>
        <w:t xml:space="preserve"> abuse prevention </w:t>
      </w:r>
      <w:r w:rsidR="00221DAC">
        <w:rPr>
          <w:lang w:eastAsia="ja-JP"/>
        </w:rPr>
        <w:t xml:space="preserve">for </w:t>
      </w:r>
      <w:r w:rsidR="0038712C">
        <w:rPr>
          <w:lang w:eastAsia="ja-JP"/>
        </w:rPr>
        <w:t>under-fives</w:t>
      </w:r>
      <w:r w:rsidR="00221DAC">
        <w:rPr>
          <w:lang w:eastAsia="ja-JP"/>
        </w:rPr>
        <w:t xml:space="preserve"> </w:t>
      </w:r>
      <w:r>
        <w:rPr>
          <w:lang w:eastAsia="ja-JP"/>
        </w:rPr>
        <w:t xml:space="preserve">is an important topic, with far-reaching consequences across a person's life. However, </w:t>
      </w:r>
      <w:r w:rsidR="0038712C">
        <w:rPr>
          <w:lang w:eastAsia="ja-JP"/>
        </w:rPr>
        <w:t>the scope of the work is not focusing on the prevention of child sexual abuse.</w:t>
      </w:r>
      <w:r w:rsidR="00F37C15">
        <w:rPr>
          <w:lang w:eastAsia="ja-JP"/>
        </w:rPr>
        <w:t xml:space="preserve"> </w:t>
      </w:r>
    </w:p>
    <w:p w14:paraId="6AB44139" w14:textId="1D6927F1" w:rsidR="00480343" w:rsidRPr="000E3F47" w:rsidRDefault="000E3F47" w:rsidP="00480343">
      <w:pPr>
        <w:pStyle w:val="LTU-Body10pt"/>
        <w:rPr>
          <w:rFonts w:eastAsia="Times New Roman"/>
          <w:lang w:eastAsia="en-AU"/>
        </w:rPr>
      </w:pPr>
      <w:r>
        <w:rPr>
          <w:lang w:eastAsia="ja-JP"/>
        </w:rPr>
        <w:t>The term ‘women and girls’ relates to anyone female-identified</w:t>
      </w:r>
      <w:r w:rsidR="004242D5">
        <w:rPr>
          <w:lang w:eastAsia="ja-JP"/>
        </w:rPr>
        <w:t>,</w:t>
      </w:r>
      <w:r>
        <w:rPr>
          <w:lang w:eastAsia="ja-JP"/>
        </w:rPr>
        <w:t xml:space="preserve"> and is used as broadly and inclusively as possible. </w:t>
      </w:r>
      <w:r w:rsidR="00F94909">
        <w:rPr>
          <w:lang w:eastAsia="ja-JP"/>
        </w:rPr>
        <w:t>There</w:t>
      </w:r>
      <w:r w:rsidR="00480343" w:rsidRPr="7AEBCC8E">
        <w:t xml:space="preserve"> is a high prevalence of sexual violence across all settings and </w:t>
      </w:r>
      <w:r w:rsidR="00480343" w:rsidRPr="7AEBCC8E">
        <w:lastRenderedPageBreak/>
        <w:t>intersections of Australian society</w:t>
      </w:r>
      <w:r w:rsidR="00F94909">
        <w:t xml:space="preserve"> and</w:t>
      </w:r>
      <w:r w:rsidR="00480343" w:rsidRPr="7AEBCC8E">
        <w:t xml:space="preserve"> </w:t>
      </w:r>
      <w:r w:rsidR="00F94909">
        <w:t>o</w:t>
      </w:r>
      <w:r w:rsidR="00480343" w:rsidRPr="7AEBCC8E">
        <w:t xml:space="preserve">ne of the leading drivers of sexual violence is gender inequality. However, while it is true that all women and girls can experience sexual violence, women and girls who face intersecting structural inequality can be at heightened risk. </w:t>
      </w:r>
    </w:p>
    <w:p w14:paraId="1D7CD72D" w14:textId="22DE219F" w:rsidR="009D5ECF" w:rsidRPr="00D45055" w:rsidRDefault="00480343" w:rsidP="00480343">
      <w:pPr>
        <w:pStyle w:val="LTU-Body10pt"/>
        <w:rPr>
          <w:rFonts w:cs="Calibri"/>
          <w:color w:val="000000" w:themeColor="text2"/>
        </w:rPr>
      </w:pPr>
      <w:r w:rsidRPr="6261B377">
        <w:rPr>
          <w:rFonts w:cs="Calibri"/>
          <w:color w:val="000000" w:themeColor="text2"/>
        </w:rPr>
        <w:t xml:space="preserve">Given the need to address </w:t>
      </w:r>
      <w:r w:rsidR="43427F41" w:rsidRPr="6261B377">
        <w:rPr>
          <w:rFonts w:cs="Calibri"/>
          <w:color w:val="000000" w:themeColor="text2"/>
        </w:rPr>
        <w:t xml:space="preserve">the </w:t>
      </w:r>
      <w:r w:rsidR="43427F41" w:rsidRPr="250E7565">
        <w:rPr>
          <w:rFonts w:cs="Calibri"/>
          <w:color w:val="000000" w:themeColor="text2"/>
        </w:rPr>
        <w:t xml:space="preserve">diversity of </w:t>
      </w:r>
      <w:r w:rsidRPr="250E7565">
        <w:rPr>
          <w:rFonts w:cs="Calibri"/>
          <w:color w:val="000000" w:themeColor="text2"/>
        </w:rPr>
        <w:t>women</w:t>
      </w:r>
      <w:r w:rsidR="7C3BA15A" w:rsidRPr="250E7565">
        <w:rPr>
          <w:rFonts w:cs="Calibri"/>
          <w:color w:val="000000" w:themeColor="text2"/>
        </w:rPr>
        <w:t xml:space="preserve"> and their</w:t>
      </w:r>
      <w:r w:rsidRPr="6261B377">
        <w:rPr>
          <w:rFonts w:cs="Calibri"/>
          <w:color w:val="000000" w:themeColor="text2"/>
        </w:rPr>
        <w:t xml:space="preserve"> breadth of </w:t>
      </w:r>
      <w:r w:rsidRPr="250E7565">
        <w:rPr>
          <w:rFonts w:cs="Calibri"/>
          <w:color w:val="000000" w:themeColor="text2"/>
        </w:rPr>
        <w:t>experience</w:t>
      </w:r>
      <w:r w:rsidRPr="6261B377">
        <w:rPr>
          <w:rFonts w:cs="Calibri"/>
          <w:color w:val="000000" w:themeColor="text2"/>
        </w:rPr>
        <w:t xml:space="preserve">, any research into sexual violence must include an intersectional analysis. Specifically, VAW is a gendered issue, </w:t>
      </w:r>
      <w:r w:rsidR="001E2757">
        <w:rPr>
          <w:rFonts w:cs="Calibri"/>
          <w:color w:val="000000" w:themeColor="text2"/>
        </w:rPr>
        <w:t xml:space="preserve">however </w:t>
      </w:r>
      <w:r w:rsidRPr="6261B377">
        <w:rPr>
          <w:rFonts w:cs="Calibri"/>
          <w:color w:val="000000" w:themeColor="text2"/>
        </w:rPr>
        <w:t>“gender inequality can never be considered in isolation from the other intersecting forms of systemic social, political and economic discrimination and disadvantage that characterise our society, such as racism, ableism, homophobia and transphobia”</w:t>
      </w:r>
      <w:r w:rsidR="00356CB1" w:rsidRPr="6261B377">
        <w:rPr>
          <w:rFonts w:cs="Calibri"/>
          <w:color w:val="000000" w:themeColor="text2"/>
        </w:rPr>
        <w:t xml:space="preserve"> </w:t>
      </w:r>
      <w:r w:rsidR="000027C7">
        <w:rPr>
          <w:rFonts w:cs="Calibri"/>
          <w:color w:val="000000" w:themeColor="text2"/>
        </w:rPr>
        <w:fldChar w:fldCharType="begin" w:fldLock="1"/>
      </w:r>
      <w:r w:rsidR="00184C58">
        <w:rPr>
          <w:rFonts w:cs="Calibri"/>
          <w:color w:val="000000" w:themeColor="text2"/>
        </w:rPr>
        <w:instrText>ADDIN CSL_CITATION {"citationItems":[{"id":"ITEM-1","itemData":{"author":[{"dropping-particle":"","family":"Our Watch","given":"","non-dropping-particle":"","parse-names":false,"suffix":""}],"id":"ITEM-1","issued":{"date-parts":[["2019"]]},"publisher":"Our Watch","publisher-place":"Melbourne","title":"Change the story three years on: Reflections on uptake and impact, lessons learned and Our Watch’s ongoing work to embed and expand the evidence on prevention","type":"report"},"locator":"36","uris":["http://www.mendeley.com/documents/?uuid=3cfe4dad-a31e-3bda-a96b-0cca32b1b089"]}],"mendeley":{"formattedCitation":"(Our Watch, 2019a, p. 36)","plainTextFormattedCitation":"(Our Watch, 2019a, p. 36)","previouslyFormattedCitation":"(Our Watch, 2019a, p. 36)"},"properties":{"noteIndex":0},"schema":"https://github.com/citation-style-language/schema/raw/master/csl-citation.json"}</w:instrText>
      </w:r>
      <w:r w:rsidR="000027C7">
        <w:rPr>
          <w:rFonts w:cs="Calibri"/>
          <w:color w:val="000000" w:themeColor="text2"/>
        </w:rPr>
        <w:fldChar w:fldCharType="separate"/>
      </w:r>
      <w:r w:rsidR="000027C7" w:rsidRPr="000027C7">
        <w:rPr>
          <w:rFonts w:cs="Calibri"/>
          <w:noProof/>
          <w:color w:val="000000" w:themeColor="text2"/>
        </w:rPr>
        <w:t>(Our Watch, 2019a, p. 36)</w:t>
      </w:r>
      <w:r w:rsidR="000027C7">
        <w:rPr>
          <w:rFonts w:cs="Calibri"/>
          <w:color w:val="000000" w:themeColor="text2"/>
        </w:rPr>
        <w:fldChar w:fldCharType="end"/>
      </w:r>
      <w:r w:rsidR="001E711D">
        <w:rPr>
          <w:rFonts w:cs="Calibri"/>
          <w:color w:val="000000" w:themeColor="text2"/>
        </w:rPr>
        <w:t>.</w:t>
      </w:r>
      <w:r w:rsidRPr="6261B377">
        <w:rPr>
          <w:rFonts w:cs="Calibri"/>
          <w:color w:val="000000" w:themeColor="text2"/>
        </w:rPr>
        <w:t xml:space="preserve"> Intersectionality is an</w:t>
      </w:r>
      <w:r w:rsidRPr="5F0C4E04">
        <w:rPr>
          <w:rFonts w:cs="Calibri"/>
          <w:color w:val="000000" w:themeColor="text2"/>
        </w:rPr>
        <w:t xml:space="preserve"> </w:t>
      </w:r>
      <w:r w:rsidR="11B51873" w:rsidRPr="5F0C4E04">
        <w:rPr>
          <w:rFonts w:cs="Calibri"/>
          <w:color w:val="000000" w:themeColor="text2"/>
        </w:rPr>
        <w:t>important</w:t>
      </w:r>
      <w:r w:rsidRPr="6261B377">
        <w:rPr>
          <w:rFonts w:cs="Calibri"/>
          <w:color w:val="000000" w:themeColor="text2"/>
        </w:rPr>
        <w:t xml:space="preserve"> approach </w:t>
      </w:r>
      <w:r w:rsidR="290C2EB2" w:rsidRPr="06D4D02C">
        <w:rPr>
          <w:rFonts w:cs="Calibri"/>
          <w:color w:val="000000" w:themeColor="text2"/>
        </w:rPr>
        <w:t>f</w:t>
      </w:r>
      <w:r w:rsidRPr="06D4D02C">
        <w:rPr>
          <w:rFonts w:cs="Calibri"/>
          <w:color w:val="000000" w:themeColor="text2"/>
        </w:rPr>
        <w:t>o</w:t>
      </w:r>
      <w:r w:rsidR="5D5778EE" w:rsidRPr="06D4D02C">
        <w:rPr>
          <w:rFonts w:cs="Calibri"/>
          <w:color w:val="000000" w:themeColor="text2"/>
        </w:rPr>
        <w:t>r</w:t>
      </w:r>
      <w:r w:rsidRPr="6261B377">
        <w:rPr>
          <w:rFonts w:cs="Calibri"/>
          <w:color w:val="000000" w:themeColor="text2"/>
        </w:rPr>
        <w:t xml:space="preserve"> research</w:t>
      </w:r>
      <w:r w:rsidR="33998A8B" w:rsidRPr="5F0C4E04">
        <w:rPr>
          <w:rFonts w:cs="Calibri"/>
          <w:color w:val="000000" w:themeColor="text2"/>
        </w:rPr>
        <w:t>,</w:t>
      </w:r>
      <w:r w:rsidRPr="6261B377">
        <w:rPr>
          <w:rFonts w:cs="Calibri"/>
          <w:color w:val="000000" w:themeColor="text2"/>
        </w:rPr>
        <w:t xml:space="preserve"> as well as a lens through which data can be analysed.</w:t>
      </w:r>
    </w:p>
    <w:p w14:paraId="45889622" w14:textId="648ACE04" w:rsidR="009D6F45" w:rsidRDefault="009D6F45" w:rsidP="00E36091">
      <w:pPr>
        <w:pStyle w:val="LTU-Subhead2"/>
      </w:pPr>
      <w:bookmarkStart w:id="35" w:name="_Toc67035837"/>
      <w:r>
        <w:t xml:space="preserve">What is </w:t>
      </w:r>
      <w:r w:rsidR="008836A9">
        <w:t>P</w:t>
      </w:r>
      <w:r>
        <w:t xml:space="preserve">rimary </w:t>
      </w:r>
      <w:r w:rsidR="008836A9">
        <w:t>P</w:t>
      </w:r>
      <w:r>
        <w:t>revention?</w:t>
      </w:r>
      <w:bookmarkEnd w:id="35"/>
    </w:p>
    <w:p w14:paraId="20265E1D" w14:textId="151EA10C" w:rsidR="009D6F45" w:rsidRDefault="009D6F45" w:rsidP="009D6F45">
      <w:pPr>
        <w:pStyle w:val="LTU-Body10pt"/>
        <w:rPr>
          <w:lang w:eastAsia="ja-JP"/>
        </w:rPr>
      </w:pPr>
      <w:r>
        <w:rPr>
          <w:lang w:eastAsia="ja-JP"/>
        </w:rPr>
        <w:t>Primary prevention is a public health approach designed to prevent violence before it occurs. It comprises whole-of-population initiatives that address the underlying “drivers” or risk factors for VAW including cultural norms, attitudes and behaviours around gender, structural inequalities (e.g., gender inequality, discrimination and poverty) as well as individual-level and community factors (e.g., alcohol and other drug abuse</w:t>
      </w:r>
      <w:r w:rsidR="00B8428A">
        <w:rPr>
          <w:lang w:eastAsia="ja-JP"/>
        </w:rPr>
        <w:t>;</w:t>
      </w:r>
      <w:r w:rsidR="00EF2C96">
        <w:rPr>
          <w:lang w:eastAsia="ja-JP"/>
        </w:rPr>
        <w:t xml:space="preserve"> </w:t>
      </w:r>
      <w:r w:rsidR="00184C58">
        <w:rPr>
          <w:lang w:eastAsia="ja-JP"/>
        </w:rPr>
        <w:fldChar w:fldCharType="begin" w:fldLock="1"/>
      </w:r>
      <w:r w:rsidR="003D4401">
        <w:rPr>
          <w:lang w:eastAsia="ja-JP"/>
        </w:rPr>
        <w:instrText>ADDIN CSL_CITATION {"citationItems":[{"id":"ITEM-1","itemData":{"abstract":"Primary Prevention","author":[{"dropping-particle":"","family":"World Health Organization","given":"","non-dropping-particle":"","parse-names":false,"suffix":""}],"id":"ITEM-1","issue":"WHO/RHR/18.19","issued":{"date-parts":[["2019"]]},"note":"The primary audience for this document is policymakers. Programme implementers working on preventing and responding to violence against women will also find it useful for designing, planning, implementing, and monitoring and evaluating interventions and programmes.\nExcellent PP guide","publisher":"WHO","publisher-place":"Geneva","title":"RESPECT women: Preventing violence against women","type":"report"},"uris":["http://www.mendeley.com/documents/?uuid=64812ca3-004a-3cfb-9a09-2e09abf8ff22"]}],"mendeley":{"formattedCitation":"(World Health Organization, 2019)","manualFormatting":"World Health Organization, 2019","plainTextFormattedCitation":"(World Health Organization, 2019)","previouslyFormattedCitation":"(World Health Organization, 2019)"},"properties":{"noteIndex":0},"schema":"https://github.com/citation-style-language/schema/raw/master/csl-citation.json"}</w:instrText>
      </w:r>
      <w:r w:rsidR="00184C58">
        <w:rPr>
          <w:lang w:eastAsia="ja-JP"/>
        </w:rPr>
        <w:fldChar w:fldCharType="separate"/>
      </w:r>
      <w:r w:rsidR="00184C58" w:rsidRPr="00184C58">
        <w:rPr>
          <w:noProof/>
          <w:lang w:eastAsia="ja-JP"/>
        </w:rPr>
        <w:t>World Health Organization, 2019</w:t>
      </w:r>
      <w:r w:rsidR="00184C58">
        <w:rPr>
          <w:lang w:eastAsia="ja-JP"/>
        </w:rPr>
        <w:fldChar w:fldCharType="end"/>
      </w:r>
      <w:r>
        <w:rPr>
          <w:lang w:eastAsia="ja-JP"/>
        </w:rPr>
        <w:t xml:space="preserve">). </w:t>
      </w:r>
      <w:r w:rsidRPr="391ACA98">
        <w:rPr>
          <w:lang w:eastAsia="ja-JP"/>
        </w:rPr>
        <w:t xml:space="preserve">The </w:t>
      </w:r>
      <w:r w:rsidR="048B7F51" w:rsidRPr="391ACA98">
        <w:rPr>
          <w:lang w:eastAsia="ja-JP"/>
        </w:rPr>
        <w:t>‘</w:t>
      </w:r>
      <w:r w:rsidRPr="391ACA98">
        <w:rPr>
          <w:lang w:eastAsia="ja-JP"/>
        </w:rPr>
        <w:t>ecological</w:t>
      </w:r>
      <w:r w:rsidR="1C0450E3" w:rsidRPr="391ACA98">
        <w:rPr>
          <w:lang w:eastAsia="ja-JP"/>
        </w:rPr>
        <w:t>’</w:t>
      </w:r>
      <w:r>
        <w:rPr>
          <w:lang w:eastAsia="ja-JP"/>
        </w:rPr>
        <w:t xml:space="preserve"> model can be used to frame primary prevention approaches which recognise multiple and interacting factors at the individual/relational, community, organisational and societal level</w:t>
      </w:r>
      <w:r w:rsidR="00B02060">
        <w:rPr>
          <w:lang w:eastAsia="ja-JP"/>
        </w:rPr>
        <w:t xml:space="preserve"> </w:t>
      </w:r>
      <w:r w:rsidR="00B02060">
        <w:rPr>
          <w:lang w:eastAsia="ja-JP"/>
        </w:rPr>
        <w:fldChar w:fldCharType="begin" w:fldLock="1"/>
      </w:r>
      <w:r w:rsidR="00F3262B">
        <w:rPr>
          <w:lang w:eastAsia="ja-JP"/>
        </w:rPr>
        <w:instrText>ADDIN CSL_CITATION {"citationItems":[{"id":"ITEM-1","itemData":{"DOI":"10.1177/1077801298004003002","ISSN":"1077-8012","abstract":"&lt;p&gt; This article encourages the widespread adoption of an integrated, ecological framework for understanding the origins of gender-based violence. An ecological approach to abuse conceptualizes violence as a multifaceted phenomenon grounded in an interplay among personal, situational, and sociocultural factors. Although drawing on the conceptual advances of earlier theorists, this article goes beyond their work in three significant ways. First, it uses the ecological framework as a heuristic tool to organize the existing research base into an intelligible whole. Whereas other theorists present the framework as a way to think about violence, few have attempted to establish what factors emerge as predictive of abuse at each level of the social ecology. Second, this article integrates results from international and cross-cultural research together with findings from North American social science. And finally, the framework draws from findings related to all types of physical...","author":[{"dropping-particle":"","family":"Heise","given":"Lori L","non-dropping-particle":"","parse-names":false,"suffix":""}],"container-title":"Violence Against Women","id":"ITEM-1","issue":"3","issued":{"date-parts":[["1998"]]},"page":"262-290","publisher-place":"Thousand Oaks","title":"Violence against women: An integrated, ecological framework","type":"article-journal","volume":"4"},"uris":["http://www.mendeley.com/documents/?uuid=fd4de9fc-4545-34f7-84f3-3066353c2dd1"]},{"id":"ITEM-2","itemData":{"author":[{"dropping-particle":"","family":"Krug","given":"Etienne G.","non-dropping-particle":"","parse-names":false,"suffix":""},{"dropping-particle":"","family":"Dahlberg","given":"Linda L.","non-dropping-particle":"","parse-names":false,"suffix":""},{"dropping-particle":"","family":"Mercy","given":"James A.","non-dropping-particle":"","parse-names":false,"suffix":""},{"dropping-particle":"","family":"Zwi","given":"Anthony B.","non-dropping-particle":"","parse-names":false,"suffix":""},{"dropping-particle":"","family":"Lozano","given":"Rafael","non-dropping-particle":"","parse-names":false,"suffix":""}],"id":"ITEM-2","issued":{"date-parts":[["2002"]]},"publisher":"World Health Organization","publisher-place":"Geneva","title":"World report on violence and health","type":"book"},"uris":["http://www.mendeley.com/documents/?uuid=b9ac2b59-fbc0-3dd1-89a8-4d6a78bb9ab2"]}],"mendeley":{"formattedCitation":"(Heise, 1998; Krug et al., 2002)","plainTextFormattedCitation":"(Heise, 1998; Krug et al., 2002)","previouslyFormattedCitation":"(Heise, 1998; Krug et al., 2002)"},"properties":{"noteIndex":0},"schema":"https://github.com/citation-style-language/schema/raw/master/csl-citation.json"}</w:instrText>
      </w:r>
      <w:r w:rsidR="00B02060">
        <w:rPr>
          <w:lang w:eastAsia="ja-JP"/>
        </w:rPr>
        <w:fldChar w:fldCharType="separate"/>
      </w:r>
      <w:r w:rsidR="00B02060" w:rsidRPr="00B02060">
        <w:rPr>
          <w:noProof/>
          <w:lang w:eastAsia="ja-JP"/>
        </w:rPr>
        <w:t>(Heise, 1998; Krug et al., 2002)</w:t>
      </w:r>
      <w:r w:rsidR="00B02060">
        <w:rPr>
          <w:lang w:eastAsia="ja-JP"/>
        </w:rPr>
        <w:fldChar w:fldCharType="end"/>
      </w:r>
      <w:r>
        <w:rPr>
          <w:lang w:eastAsia="ja-JP"/>
        </w:rPr>
        <w:t>.</w:t>
      </w:r>
    </w:p>
    <w:p w14:paraId="4721AFD7" w14:textId="5EF4A576" w:rsidR="009D6F45" w:rsidRDefault="009D6F45" w:rsidP="009D6F45">
      <w:pPr>
        <w:pStyle w:val="LTU-Body10pt"/>
        <w:rPr>
          <w:rFonts w:cs="Calibri"/>
          <w:color w:val="000000" w:themeColor="text1"/>
        </w:rPr>
      </w:pPr>
      <w:r w:rsidRPr="028605AC">
        <w:rPr>
          <w:lang w:eastAsia="ja-JP"/>
        </w:rPr>
        <w:t xml:space="preserve">This report </w:t>
      </w:r>
      <w:r w:rsidR="00B8428A">
        <w:rPr>
          <w:lang w:eastAsia="ja-JP"/>
        </w:rPr>
        <w:t>follows</w:t>
      </w:r>
      <w:r w:rsidRPr="028605AC">
        <w:rPr>
          <w:lang w:eastAsia="ja-JP"/>
        </w:rPr>
        <w:t xml:space="preserve"> the </w:t>
      </w:r>
      <w:r w:rsidRPr="028605AC">
        <w:rPr>
          <w:rFonts w:ascii="Roboto-Italic" w:hAnsi="Roboto-Italic" w:cs="Roboto-Italic"/>
          <w:i/>
          <w:iCs/>
          <w:lang w:eastAsia="ja-JP"/>
        </w:rPr>
        <w:t xml:space="preserve">Change the Story </w:t>
      </w:r>
      <w:r w:rsidRPr="028605AC">
        <w:rPr>
          <w:lang w:eastAsia="ja-JP"/>
        </w:rPr>
        <w:t>definition for primary prevention, which is</w:t>
      </w:r>
      <w:r w:rsidR="00EF2C96">
        <w:rPr>
          <w:lang w:eastAsia="ja-JP"/>
        </w:rPr>
        <w:t>:</w:t>
      </w:r>
      <w:r w:rsidRPr="028605AC">
        <w:rPr>
          <w:lang w:eastAsia="ja-JP"/>
        </w:rPr>
        <w:t xml:space="preserve"> “whole-of-population initiatives that address the primary (“first” or underlying) drivers of violence”</w:t>
      </w:r>
      <w:r w:rsidR="00F3262B">
        <w:rPr>
          <w:lang w:eastAsia="ja-JP"/>
        </w:rPr>
        <w:t xml:space="preserve"> </w:t>
      </w:r>
      <w:r w:rsidR="00EF2C96">
        <w:rPr>
          <w:lang w:eastAsia="ja-JP"/>
        </w:rPr>
        <w:t>(</w:t>
      </w:r>
      <w:r w:rsidR="00F3262B">
        <w:rPr>
          <w:lang w:eastAsia="ja-JP"/>
        </w:rPr>
        <w:fldChar w:fldCharType="begin" w:fldLock="1"/>
      </w:r>
      <w:r w:rsidR="00367D7A">
        <w:rPr>
          <w:lang w:eastAsia="ja-JP"/>
        </w:rPr>
        <w:instrText>ADDIN CSL_CITATION {"citationItems":[{"id":"ITEM-1","itemData":{"author":[{"dropping-particle":"","family":"Our Watch","given":"","non-dropping-particle":"","parse-names":false,"suffix":""},{"dropping-particle":"","family":"VicHealth","given":"","non-dropping-particle":"","parse-names":false,"suffix":""},{"dropping-particle":"","family":"Australia’s National Research Organisation for Women’s Safety (ANROWS)","given":"","non-dropping-particle":"","parse-names":false,"suffix":""}],"id":"ITEM-1","issued":{"date-parts":[["2015"]]},"publisher":"Our Watch","publisher-place":"Melbourne","title":"Change the story: A shared framework for the primary prevention of violence against women and their children in Australia","type":"book"},"locator":"15","uris":["http://www.mendeley.com/documents/?uuid=1ac2cfc8-d99d-352b-bef7-4d255532f942"]}],"mendeley":{"formattedCitation":"(Our Watch et al., 2015, p. 15)","manualFormatting":"Our Watch et al., 2015, p. 15)","plainTextFormattedCitation":"(Our Watch et al., 2015, p. 15)","previouslyFormattedCitation":"(Our Watch et al., 2015, p. 15)"},"properties":{"noteIndex":0},"schema":"https://github.com/citation-style-language/schema/raw/master/csl-citation.json"}</w:instrText>
      </w:r>
      <w:r w:rsidR="00F3262B">
        <w:rPr>
          <w:lang w:eastAsia="ja-JP"/>
        </w:rPr>
        <w:fldChar w:fldCharType="separate"/>
      </w:r>
      <w:r w:rsidR="00F3262B" w:rsidRPr="00F3262B">
        <w:rPr>
          <w:noProof/>
          <w:lang w:eastAsia="ja-JP"/>
        </w:rPr>
        <w:t>Our Watch et al., 2015, p. 15)</w:t>
      </w:r>
      <w:r w:rsidR="00F3262B">
        <w:rPr>
          <w:lang w:eastAsia="ja-JP"/>
        </w:rPr>
        <w:fldChar w:fldCharType="end"/>
      </w:r>
      <w:r w:rsidRPr="028605AC">
        <w:rPr>
          <w:lang w:eastAsia="ja-JP"/>
        </w:rPr>
        <w:t xml:space="preserve">. While this definition is straightforward, the interpretation of what primary prevention means can vary, and can sit across the broader population, community and individual levels. There can be a fine line between primary and secondary prevention, with the latter referring to prevention among high-risk population groups and approaches that focus on immediate responses to violence (also known as </w:t>
      </w:r>
      <w:r w:rsidR="00497DFB">
        <w:rPr>
          <w:lang w:eastAsia="ja-JP"/>
        </w:rPr>
        <w:t>“</w:t>
      </w:r>
      <w:r w:rsidRPr="028605AC">
        <w:rPr>
          <w:lang w:eastAsia="ja-JP"/>
        </w:rPr>
        <w:t>early intervention</w:t>
      </w:r>
      <w:r w:rsidR="00497DFB">
        <w:rPr>
          <w:lang w:eastAsia="ja-JP"/>
        </w:rPr>
        <w:t>”</w:t>
      </w:r>
      <w:r w:rsidRPr="028605AC">
        <w:rPr>
          <w:lang w:eastAsia="ja-JP"/>
        </w:rPr>
        <w:t>); thereby preventing progression</w:t>
      </w:r>
      <w:r w:rsidR="00F3262B">
        <w:rPr>
          <w:lang w:eastAsia="ja-JP"/>
        </w:rPr>
        <w:t xml:space="preserve"> </w:t>
      </w:r>
      <w:r w:rsidR="000569B5">
        <w:rPr>
          <w:lang w:eastAsia="ja-JP"/>
        </w:rPr>
        <w:fldChar w:fldCharType="begin" w:fldLock="1"/>
      </w:r>
      <w:r w:rsidR="000569B5">
        <w:rPr>
          <w:lang w:eastAsia="ja-JP"/>
        </w:rPr>
        <w:instrText>ADDIN CSL_CITATION {"citationItems":[{"id":"ITEM-1","itemData":{"author":[{"dropping-particle":"","family":"Flood","given":"Michael","non-dropping-particle":"","parse-names":false,"suffix":""}],"id":"ITEM-1","issued":{"date-parts":[["2013"]]},"publisher":"VicHealth","publisher-place":"Melbourne","title":"Evaluation capacity building in the Respect, Responsibility and Equality program: Report on Stage 1 (2008–2010)","type":"report"},"uris":["http://www.mendeley.com/documents/?uuid=e04b371e-252c-31e2-99b7-dc05db93058a"]},{"id":"ITEM-2","itemData":{"DOI":"10.1016/S0140-6736(14)61837-7","ISSN":"1474547X","PMID":"25467583","abstract":"Health systems have a crucial role in a multisector response to violence against women. Some countries have guidelines or protocols articulating this role and health-care workers are trained in some settings, but generally system development and implementation have been slow to progress. Substantial system and behavioural barriers exist, especially in low-income and middle-income countries. Violence against women was identified as a health priority in 2013 guidelines published by WHO and the 67th World Health Assembly resolution on strengthening the role of the health system in addressing violence, particularly against women and girls. In this Series paper, we review the evidence for clinical interventions and discuss components of a comprehensive health-system approach that helps health-care providers to identify and support women subjected to intimate partner or sexual violence. Five country case studies show the diversity of contexts and pathways for development of a health system response to violence against women. Although additional research is needed, strengthening of health systems can enable providers to address violence against women, including protocols, capacity building, effective coordination between agencies, and referral networks.","author":[{"dropping-particle":"","family":"García-Moreno","given":"Claudia","non-dropping-particle":"","parse-names":false,"suffix":""},{"dropping-particle":"","family":"Hegarty","given":"Kelsey","non-dropping-particle":"","parse-names":false,"suffix":""},{"dropping-particle":"","family":"D'Oliveira","given":"Ana Flavia Lucas","non-dropping-particle":"","parse-names":false,"suffix":""},{"dropping-particle":"","family":"Koziol-Mclain","given":"Jane","non-dropping-particle":"","parse-names":false,"suffix":""},{"dropping-particle":"","family":"Colombini","given":"Manuela","non-dropping-particle":"","parse-names":false,"suffix":""},{"dropping-particle":"","family":"Feder","given":"Gene","non-dropping-particle":"","parse-names":false,"suffix":""}],"container-title":"The Lancet","id":"ITEM-2","issue":"9977","issued":{"date-parts":[["2015"]]},"page":"1567-1579","title":"The health-systems response to violence against women","type":"article-journal","volume":"385"},"uris":["http://www.mendeley.com/documents/?uuid=235e246c-0ac7-4351-9f70-8f818d0a79f4"]},{"id":"ITEM-3","itemData":{"author":[{"dropping-particle":"","family":"Krug","given":"Etienne G.","non-dropping-particle":"","parse-names":false,"suffix":""},{"dropping-particle":"","family":"Dahlberg","given":"Linda L.","non-dropping-particle":"","parse-names":false,"suffix":""},{"dropping-particle":"","family":"Mercy","given":"James A.","non-dropping-particle":"","parse-names":false,"suffix":""},{"dropping-particle":"","family":"Zwi","given":"Anthony B.","non-dropping-particle":"","parse-names":false,"suffix":""},{"dropping-particle":"","family":"Lozano","given":"Rafael","non-dropping-particle":"","parse-names":false,"suffix":""}],"id":"ITEM-3","issued":{"date-parts":[["2002"]]},"publisher":"World Health Organization","publisher-place":"Geneva","title":"World report on violence and health","type":"book"},"uris":["http://www.mendeley.com/documents/?uuid=b9ac2b59-fbc0-3dd1-89a8-4d6a78bb9ab2"]}],"mendeley":{"formattedCitation":"(Flood, 2013; García-Moreno et al., 2015; Krug et al., 2002)","plainTextFormattedCitation":"(Flood, 2013; García-Moreno et al., 2015; Krug et al., 2002)","previouslyFormattedCitation":"(Flood, 2013; García-Moreno et al., 2015; Krug et al., 2002)"},"properties":{"noteIndex":0},"schema":"https://github.com/citation-style-language/schema/raw/master/csl-citation.json"}</w:instrText>
      </w:r>
      <w:r w:rsidR="000569B5">
        <w:rPr>
          <w:lang w:eastAsia="ja-JP"/>
        </w:rPr>
        <w:fldChar w:fldCharType="separate"/>
      </w:r>
      <w:r w:rsidR="000569B5" w:rsidRPr="000569B5">
        <w:rPr>
          <w:noProof/>
          <w:lang w:eastAsia="ja-JP"/>
        </w:rPr>
        <w:t>(Flood, 2013; García-Moreno et al., 2015; Krug et al., 2002)</w:t>
      </w:r>
      <w:r w:rsidR="000569B5">
        <w:rPr>
          <w:lang w:eastAsia="ja-JP"/>
        </w:rPr>
        <w:fldChar w:fldCharType="end"/>
      </w:r>
      <w:r w:rsidRPr="028605AC">
        <w:rPr>
          <w:lang w:eastAsia="ja-JP"/>
        </w:rPr>
        <w:t>. However, our focus i</w:t>
      </w:r>
      <w:r w:rsidR="37A452E2" w:rsidRPr="028605AC">
        <w:rPr>
          <w:lang w:eastAsia="ja-JP"/>
        </w:rPr>
        <w:t>s</w:t>
      </w:r>
      <w:r w:rsidRPr="028605AC">
        <w:rPr>
          <w:lang w:eastAsia="ja-JP"/>
        </w:rPr>
        <w:t xml:space="preserve"> on primary prevention</w:t>
      </w:r>
      <w:r w:rsidR="00674F9D">
        <w:rPr>
          <w:lang w:eastAsia="ja-JP"/>
        </w:rPr>
        <w:t>.</w:t>
      </w:r>
      <w:r w:rsidRPr="028605AC">
        <w:rPr>
          <w:lang w:eastAsia="ja-JP"/>
        </w:rPr>
        <w:t xml:space="preserve"> </w:t>
      </w:r>
      <w:r w:rsidR="00674F9D">
        <w:rPr>
          <w:lang w:eastAsia="ja-JP"/>
        </w:rPr>
        <w:t>W</w:t>
      </w:r>
      <w:r w:rsidR="282FEF4E" w:rsidRPr="3A541BF2">
        <w:rPr>
          <w:lang w:eastAsia="ja-JP"/>
        </w:rPr>
        <w:t>e therefor</w:t>
      </w:r>
      <w:r w:rsidRPr="3A541BF2">
        <w:rPr>
          <w:lang w:eastAsia="ja-JP"/>
        </w:rPr>
        <w:t>e</w:t>
      </w:r>
      <w:r w:rsidRPr="028605AC">
        <w:rPr>
          <w:lang w:eastAsia="ja-JP"/>
        </w:rPr>
        <w:t xml:space="preserve"> examine</w:t>
      </w:r>
      <w:r w:rsidR="2F9055CB" w:rsidRPr="028605AC">
        <w:rPr>
          <w:lang w:eastAsia="ja-JP"/>
        </w:rPr>
        <w:t>d</w:t>
      </w:r>
      <w:r w:rsidRPr="028605AC">
        <w:rPr>
          <w:lang w:eastAsia="ja-JP"/>
        </w:rPr>
        <w:t xml:space="preserve"> interventions </w:t>
      </w:r>
      <w:r w:rsidR="38DF8578" w:rsidRPr="028605AC">
        <w:rPr>
          <w:lang w:eastAsia="ja-JP"/>
        </w:rPr>
        <w:t xml:space="preserve">and explored approaches </w:t>
      </w:r>
      <w:r w:rsidRPr="028605AC">
        <w:rPr>
          <w:lang w:eastAsia="ja-JP"/>
        </w:rPr>
        <w:t xml:space="preserve">that aim to prevent violence before it occurs </w:t>
      </w:r>
      <w:r w:rsidR="00EA716B">
        <w:rPr>
          <w:lang w:eastAsia="ja-JP"/>
        </w:rPr>
        <w:t xml:space="preserve">and to change the broader societal norms that create gender inequality </w:t>
      </w:r>
      <w:r w:rsidR="000569B5">
        <w:rPr>
          <w:lang w:eastAsia="ja-JP"/>
        </w:rPr>
        <w:fldChar w:fldCharType="begin" w:fldLock="1"/>
      </w:r>
      <w:r w:rsidR="000569B5">
        <w:rPr>
          <w:lang w:eastAsia="ja-JP"/>
        </w:rPr>
        <w:instrText>ADDIN CSL_CITATION {"citationItems":[{"id":"ITEM-1","itemData":{"author":[{"dropping-particle":"","family":"Krug","given":"Etienne G.","non-dropping-particle":"","parse-names":false,"suffix":""},{"dropping-particle":"","family":"Dahlberg","given":"Linda L.","non-dropping-particle":"","parse-names":false,"suffix":""},{"dropping-particle":"","family":"Mercy","given":"James A.","non-dropping-particle":"","parse-names":false,"suffix":""},{"dropping-particle":"","family":"Zwi","given":"Anthony B.","non-dropping-particle":"","parse-names":false,"suffix":""},{"dropping-particle":"","family":"Lozano","given":"Rafael","non-dropping-particle":"","parse-names":false,"suffix":""}],"id":"ITEM-1","issued":{"date-parts":[["2002"]]},"publisher":"World Health Organization","publisher-place":"Geneva","title":"World report on violence and health","type":"book"},"uris":["http://www.mendeley.com/documents/?uuid=b9ac2b59-fbc0-3dd1-89a8-4d6a78bb9ab2"]}],"mendeley":{"formattedCitation":"(Krug et al., 2002)","plainTextFormattedCitation":"(Krug et al., 2002)","previouslyFormattedCitation":"(Krug et al., 2002)"},"properties":{"noteIndex":0},"schema":"https://github.com/citation-style-language/schema/raw/master/csl-citation.json"}</w:instrText>
      </w:r>
      <w:r w:rsidR="000569B5">
        <w:rPr>
          <w:lang w:eastAsia="ja-JP"/>
        </w:rPr>
        <w:fldChar w:fldCharType="separate"/>
      </w:r>
      <w:r w:rsidR="000569B5" w:rsidRPr="000569B5">
        <w:rPr>
          <w:noProof/>
          <w:lang w:eastAsia="ja-JP"/>
        </w:rPr>
        <w:t>(Krug et al., 2002)</w:t>
      </w:r>
      <w:r w:rsidR="000569B5">
        <w:rPr>
          <w:lang w:eastAsia="ja-JP"/>
        </w:rPr>
        <w:fldChar w:fldCharType="end"/>
      </w:r>
      <w:r w:rsidRPr="028605AC">
        <w:rPr>
          <w:lang w:eastAsia="ja-JP"/>
        </w:rPr>
        <w:t>.</w:t>
      </w:r>
    </w:p>
    <w:p w14:paraId="62043CD9" w14:textId="023894CD" w:rsidR="00C56FE6" w:rsidRDefault="1337C007" w:rsidP="00E36091">
      <w:pPr>
        <w:pStyle w:val="LTU-Subhead2"/>
      </w:pPr>
      <w:bookmarkStart w:id="36" w:name="_Toc67035838"/>
      <w:r w:rsidRPr="006A192A">
        <w:t xml:space="preserve">Putting a </w:t>
      </w:r>
      <w:r w:rsidR="6BC50056" w:rsidRPr="006A192A">
        <w:t>S</w:t>
      </w:r>
      <w:r w:rsidRPr="006A192A">
        <w:t xml:space="preserve">potlight on the </w:t>
      </w:r>
      <w:r w:rsidR="42A21FD3" w:rsidRPr="006A192A">
        <w:t>P</w:t>
      </w:r>
      <w:r w:rsidRPr="006A192A">
        <w:t xml:space="preserve">rimary </w:t>
      </w:r>
      <w:r w:rsidR="55415362" w:rsidRPr="006A192A">
        <w:t>P</w:t>
      </w:r>
      <w:r w:rsidRPr="006A192A">
        <w:t>revention of SVH</w:t>
      </w:r>
      <w:bookmarkEnd w:id="36"/>
      <w:r w:rsidRPr="006A192A">
        <w:t xml:space="preserve"> </w:t>
      </w:r>
    </w:p>
    <w:p w14:paraId="5D411B2A" w14:textId="77777777" w:rsidR="00E36091" w:rsidRDefault="00E36091" w:rsidP="00292F96">
      <w:pPr>
        <w:pStyle w:val="Pullouts"/>
      </w:pPr>
      <w:r w:rsidRPr="00936085">
        <w:t>“Preventing sexual violence and harassment needs a comprehensive approach – similar to what we are working towards with domestic an</w:t>
      </w:r>
      <w:r>
        <w:t xml:space="preserve">d family violence prevention.” </w:t>
      </w:r>
    </w:p>
    <w:p w14:paraId="4FB13B69" w14:textId="2161F104" w:rsidR="00E36091" w:rsidRPr="00E36091" w:rsidRDefault="00E36091" w:rsidP="00292F96">
      <w:pPr>
        <w:pStyle w:val="Pullouts"/>
        <w:jc w:val="right"/>
        <w:rPr>
          <w:caps/>
        </w:rPr>
      </w:pPr>
      <w:r>
        <w:lastRenderedPageBreak/>
        <w:t>-- P</w:t>
      </w:r>
      <w:r w:rsidRPr="00936085">
        <w:t>articipant</w:t>
      </w:r>
    </w:p>
    <w:p w14:paraId="4A30AF36" w14:textId="70125720" w:rsidR="00355D56" w:rsidRDefault="00471106" w:rsidP="00355D56">
      <w:pPr>
        <w:pStyle w:val="LTU-Body10pt"/>
      </w:pPr>
      <w:r>
        <w:t>T</w:t>
      </w:r>
      <w:r w:rsidR="00355D56" w:rsidRPr="006A192A">
        <w:t xml:space="preserve">he </w:t>
      </w:r>
      <w:r w:rsidR="00355D56" w:rsidRPr="006A192A">
        <w:rPr>
          <w:i/>
          <w:iCs/>
        </w:rPr>
        <w:t xml:space="preserve">Fourth Action Plan </w:t>
      </w:r>
      <w:r w:rsidR="00355D56" w:rsidRPr="006A192A">
        <w:t>(2019</w:t>
      </w:r>
      <w:r w:rsidR="003020F1">
        <w:t>–</w:t>
      </w:r>
      <w:r w:rsidR="00355D56" w:rsidRPr="006A192A">
        <w:t xml:space="preserve">2022) </w:t>
      </w:r>
      <w:r w:rsidR="00355D56">
        <w:t xml:space="preserve">of the National Plan </w:t>
      </w:r>
      <w:r w:rsidR="00355D56" w:rsidRPr="006A192A">
        <w:t xml:space="preserve">outlines five priority areas, one of which is </w:t>
      </w:r>
      <w:r w:rsidR="00AD0FE1">
        <w:t>“</w:t>
      </w:r>
      <w:r w:rsidR="00355D56" w:rsidRPr="006A192A">
        <w:t>respond to sexual violence and sexual harassment</w:t>
      </w:r>
      <w:r w:rsidR="00AD0FE1">
        <w:t>”</w:t>
      </w:r>
      <w:r w:rsidR="00355D56" w:rsidRPr="006A192A">
        <w:t xml:space="preserve">. The Fourth Action Plan has a focus on primary prevention and advocating for ending all forms of SVH. To achieve this, the </w:t>
      </w:r>
      <w:r w:rsidR="00355D56" w:rsidRPr="00C77D4E">
        <w:rPr>
          <w:iCs/>
        </w:rPr>
        <w:t>Fourth Action Plan</w:t>
      </w:r>
      <w:r w:rsidR="00355D56" w:rsidRPr="006A192A">
        <w:t xml:space="preserve"> outlines three actions:</w:t>
      </w:r>
    </w:p>
    <w:p w14:paraId="48BE94F1" w14:textId="74491670" w:rsidR="00355D56" w:rsidRPr="006F1C63" w:rsidRDefault="00347C82" w:rsidP="006F1C63">
      <w:pPr>
        <w:pStyle w:val="LTU-Bullets10pt"/>
      </w:pPr>
      <w:r w:rsidRPr="006F1C63">
        <w:t>p</w:t>
      </w:r>
      <w:r w:rsidR="00355D56" w:rsidRPr="006F1C63">
        <w:t>revent sexual violence and sexual harassment before it happens through national and targeted initiatives that promote informed consent, bodily autonomy and respectful relationships</w:t>
      </w:r>
      <w:r w:rsidRPr="006F1C63">
        <w:t>;</w:t>
      </w:r>
    </w:p>
    <w:p w14:paraId="5264B1B9" w14:textId="3A81020E" w:rsidR="00355D56" w:rsidRPr="006F1C63" w:rsidRDefault="00347C82" w:rsidP="006F1C63">
      <w:pPr>
        <w:pStyle w:val="LTU-Bullets10pt"/>
      </w:pPr>
      <w:r w:rsidRPr="006F1C63">
        <w:t>d</w:t>
      </w:r>
      <w:r w:rsidR="00355D56" w:rsidRPr="006F1C63">
        <w:t>eliver client-centred, trauma-informed, specialised and consistent support to victim</w:t>
      </w:r>
      <w:r w:rsidR="003020F1" w:rsidRPr="006F1C63">
        <w:t>–</w:t>
      </w:r>
      <w:r w:rsidR="00355D56" w:rsidRPr="006F1C63">
        <w:t>survivors of sexual violence</w:t>
      </w:r>
      <w:r w:rsidRPr="006F1C63">
        <w:t>;</w:t>
      </w:r>
      <w:r w:rsidR="00C92769" w:rsidRPr="006F1C63">
        <w:t xml:space="preserve"> and</w:t>
      </w:r>
    </w:p>
    <w:p w14:paraId="7C02EDAE" w14:textId="26D1F8CA" w:rsidR="00355D56" w:rsidRPr="003E3EC1" w:rsidRDefault="00C92769" w:rsidP="006F1C63">
      <w:pPr>
        <w:pStyle w:val="LTU-Bullets10pt"/>
        <w:rPr>
          <w:rFonts w:cstheme="minorBidi"/>
        </w:rPr>
      </w:pPr>
      <w:r w:rsidRPr="006F1C63">
        <w:t>s</w:t>
      </w:r>
      <w:r w:rsidR="00355D56" w:rsidRPr="006F1C63">
        <w:t>trengthen</w:t>
      </w:r>
      <w:r w:rsidR="00355D56" w:rsidRPr="489FC222">
        <w:rPr>
          <w:shd w:val="clear" w:color="auto" w:fill="FFFFFF"/>
        </w:rPr>
        <w:t xml:space="preserve"> the capacity of all sectors to address sexual harassment to ensure women are safe at work, while studying, in public </w:t>
      </w:r>
      <w:r w:rsidR="0040273F">
        <w:rPr>
          <w:shd w:val="clear" w:color="auto" w:fill="FFFFFF"/>
        </w:rPr>
        <w:t>spaces including</w:t>
      </w:r>
      <w:r w:rsidR="00355D56" w:rsidRPr="489FC222">
        <w:rPr>
          <w:shd w:val="clear" w:color="auto" w:fill="FFFFFF"/>
        </w:rPr>
        <w:t xml:space="preserve"> online.</w:t>
      </w:r>
      <w:r w:rsidR="00355D56" w:rsidRPr="006A192A">
        <w:t xml:space="preserve"> </w:t>
      </w:r>
    </w:p>
    <w:p w14:paraId="25469ED6" w14:textId="3E2F77B0" w:rsidR="00364811" w:rsidRPr="00E36091" w:rsidRDefault="003A5EFA" w:rsidP="00E36091">
      <w:pPr>
        <w:pStyle w:val="LTU-Body10pt"/>
      </w:pPr>
      <w:r>
        <w:t xml:space="preserve">To achieve primary prevention, </w:t>
      </w:r>
      <w:r w:rsidR="0066444A">
        <w:t>we must address the gendered drive</w:t>
      </w:r>
      <w:r w:rsidR="00B87D67">
        <w:t>r</w:t>
      </w:r>
      <w:r w:rsidR="0066444A">
        <w:t>s</w:t>
      </w:r>
      <w:r w:rsidR="00B87D67">
        <w:t xml:space="preserve"> of VAW</w:t>
      </w:r>
      <w:r w:rsidR="0066444A">
        <w:t>.</w:t>
      </w:r>
      <w:r w:rsidR="00B87D67">
        <w:t xml:space="preserve"> To address </w:t>
      </w:r>
      <w:r w:rsidR="00286897">
        <w:t>SVH</w:t>
      </w:r>
      <w:r>
        <w:t xml:space="preserve"> specifically</w:t>
      </w:r>
      <w:r w:rsidR="00286897">
        <w:t xml:space="preserve">, stopping perpetration is </w:t>
      </w:r>
      <w:r w:rsidR="00563DEC">
        <w:t>the</w:t>
      </w:r>
      <w:r w:rsidR="00286897">
        <w:t xml:space="preserve"> central goal</w:t>
      </w:r>
      <w:r w:rsidR="00286897" w:rsidRPr="00563DEC">
        <w:t xml:space="preserve">. </w:t>
      </w:r>
      <w:r w:rsidR="00563DEC" w:rsidRPr="00563DEC">
        <w:t xml:space="preserve">Therefore, </w:t>
      </w:r>
      <w:r w:rsidR="0A126FA3">
        <w:t>“P</w:t>
      </w:r>
      <w:r w:rsidR="7E6C40DA">
        <w:t>revention</w:t>
      </w:r>
      <w:r w:rsidR="00862D9F" w:rsidRPr="00A44331">
        <w:t xml:space="preserve"> efforts with a focus on addressing masculinities and engaging men should aim to be gender transformative and actively challenge dominant forms of masculinity rather than reinforcing and maintaining them</w:t>
      </w:r>
      <w:r w:rsidR="00862D9F" w:rsidRPr="69E83393">
        <w:rPr>
          <w:rFonts w:cstheme="minorBidi"/>
        </w:rPr>
        <w:t xml:space="preserve">” </w:t>
      </w:r>
      <w:r w:rsidR="00862D9F" w:rsidRPr="69E83393">
        <w:rPr>
          <w:rFonts w:cstheme="minorBidi"/>
        </w:rPr>
        <w:fldChar w:fldCharType="begin" w:fldLock="1"/>
      </w:r>
      <w:r w:rsidR="00AA1994">
        <w:rPr>
          <w:rFonts w:cstheme="minorBidi"/>
        </w:rPr>
        <w:instrText>ADDIN CSL_CITATION {"citationItems":[{"id":"ITEM-1","itemData":{"DOI":"10.1177/030619739700600208","ISSN":"0306-1973","author":[{"dropping-particle":"","family":"Our Watch","given":"","non-dropping-particle":"","parse-names":false,"suffix":""}],"id":"ITEM-1","issued":{"date-parts":[["2019"]]},"publisher":"Our Watch","publisher-place":"Melbourne","title":"Men in focus: Unpacking masculinities and engaging men in the prevention of violence against women","type":"report"},"locator":"13","uris":["http://www.mendeley.com/documents/?uuid=47851b03-7c99-3df0-b57e-3f59a265296d"]}],"mendeley":{"formattedCitation":"(Our Watch, 2019b, p. 13)","plainTextFormattedCitation":"(Our Watch, 2019b, p. 13)","previouslyFormattedCitation":"(Our Watch, 2019b, p. 13)"},"properties":{"noteIndex":0},"schema":"https://github.com/citation-style-language/schema/raw/master/csl-citation.json"}</w:instrText>
      </w:r>
      <w:r w:rsidR="00862D9F" w:rsidRPr="69E83393">
        <w:rPr>
          <w:rFonts w:cstheme="minorBidi"/>
        </w:rPr>
        <w:fldChar w:fldCharType="separate"/>
      </w:r>
      <w:r w:rsidR="00082EEB" w:rsidRPr="00082EEB">
        <w:rPr>
          <w:rFonts w:cstheme="minorBidi"/>
          <w:noProof/>
        </w:rPr>
        <w:t>(Our Watch, 2019b, p. 13)</w:t>
      </w:r>
      <w:r w:rsidR="00862D9F" w:rsidRPr="69E83393">
        <w:rPr>
          <w:rFonts w:cstheme="minorBidi"/>
        </w:rPr>
        <w:fldChar w:fldCharType="end"/>
      </w:r>
      <w:r w:rsidR="00862D9F" w:rsidRPr="69E83393">
        <w:rPr>
          <w:rFonts w:cstheme="minorBidi"/>
        </w:rPr>
        <w:t>.</w:t>
      </w:r>
      <w:r w:rsidR="00D127FE" w:rsidRPr="00D127FE">
        <w:t xml:space="preserve"> </w:t>
      </w:r>
      <w:r w:rsidR="00D127FE" w:rsidRPr="00A44331">
        <w:t>Men and boys need to be engaged in primary prevention efforts.</w:t>
      </w:r>
      <w:r w:rsidR="00127603">
        <w:t xml:space="preserve"> Primary prevention interventions </w:t>
      </w:r>
      <w:r w:rsidR="00B455EE">
        <w:t xml:space="preserve">need to challenge issues such as male belief in their </w:t>
      </w:r>
      <w:r w:rsidR="1B44F50A">
        <w:t>entitlement</w:t>
      </w:r>
      <w:r w:rsidR="00B455EE">
        <w:t xml:space="preserve"> to sexual gratification, rigid gender roles and male peer</w:t>
      </w:r>
      <w:r w:rsidR="0030640D">
        <w:t>-</w:t>
      </w:r>
      <w:r w:rsidR="00B455EE">
        <w:t>group behaviours</w:t>
      </w:r>
      <w:r w:rsidR="00FE0A3E">
        <w:t xml:space="preserve">. Primary prevention also needs to address </w:t>
      </w:r>
      <w:r w:rsidR="00B455EE">
        <w:t xml:space="preserve">broader systemic issues that </w:t>
      </w:r>
      <w:r w:rsidR="009C6E5A">
        <w:t xml:space="preserve">support </w:t>
      </w:r>
      <w:r w:rsidR="004C6A77">
        <w:t xml:space="preserve">individual actions. </w:t>
      </w:r>
      <w:r w:rsidR="0030640D">
        <w:t>I</w:t>
      </w:r>
      <w:r w:rsidR="004C6A77">
        <w:t>t is important to note</w:t>
      </w:r>
      <w:r w:rsidR="0030640D">
        <w:t>, however,</w:t>
      </w:r>
      <w:r w:rsidR="004C6A77">
        <w:t xml:space="preserve"> that just as victim</w:t>
      </w:r>
      <w:r w:rsidR="0030640D">
        <w:t>–</w:t>
      </w:r>
      <w:r w:rsidR="004C6A77">
        <w:t xml:space="preserve">survivors are </w:t>
      </w:r>
      <w:r w:rsidR="00140C80">
        <w:t xml:space="preserve">from across all walks of life, so too are perpetrators. </w:t>
      </w:r>
      <w:r w:rsidR="00104E6F">
        <w:t xml:space="preserve">All actions to address perpetration should be intersectional, co-designed and </w:t>
      </w:r>
      <w:r w:rsidR="13D1B06C">
        <w:t>adaptable</w:t>
      </w:r>
      <w:r w:rsidR="00104E6F">
        <w:t xml:space="preserve"> to the needs of each community. </w:t>
      </w:r>
    </w:p>
    <w:p w14:paraId="037AD8DB" w14:textId="77777777" w:rsidR="003E2887" w:rsidRDefault="003E2887">
      <w:pPr>
        <w:spacing w:after="0" w:line="240" w:lineRule="auto"/>
        <w:rPr>
          <w:rFonts w:eastAsia="MS Mincho" w:cs="Arial"/>
          <w:b/>
          <w:bCs/>
          <w:color w:val="565652"/>
          <w:sz w:val="48"/>
          <w:szCs w:val="48"/>
          <w:lang w:bidi="en-US"/>
        </w:rPr>
      </w:pPr>
      <w:bookmarkStart w:id="37" w:name="_Toc67035839"/>
      <w:r>
        <w:br w:type="page"/>
      </w:r>
    </w:p>
    <w:p w14:paraId="0F4044B5" w14:textId="6D12C0C9" w:rsidR="0052075C" w:rsidRDefault="00104E6F" w:rsidP="00E36091">
      <w:pPr>
        <w:pStyle w:val="LTU-Sectionheading"/>
      </w:pPr>
      <w:r>
        <w:lastRenderedPageBreak/>
        <w:t>Sc</w:t>
      </w:r>
      <w:r w:rsidR="00A95EE5">
        <w:t>ope of the Project</w:t>
      </w:r>
      <w:bookmarkEnd w:id="37"/>
    </w:p>
    <w:p w14:paraId="40ACFCFB" w14:textId="77777777" w:rsidR="00355D56" w:rsidRDefault="00355D56" w:rsidP="00E36091">
      <w:pPr>
        <w:pStyle w:val="LTU-Subhead1"/>
      </w:pPr>
      <w:r w:rsidRPr="6BD1F231">
        <w:t>Research Process</w:t>
      </w:r>
    </w:p>
    <w:p w14:paraId="3A0327D6" w14:textId="4CB31E5D" w:rsidR="00355D56" w:rsidRPr="00355D56" w:rsidRDefault="77905E9E" w:rsidP="0811B678">
      <w:pPr>
        <w:pStyle w:val="LTU-Body10pt"/>
        <w:rPr>
          <w:lang w:bidi="en-US"/>
        </w:rPr>
      </w:pPr>
      <w:r>
        <w:t xml:space="preserve">To build the evidence base, we drew on our expert Advisory Group, </w:t>
      </w:r>
      <w:r w:rsidR="0D022F5B">
        <w:t xml:space="preserve">an </w:t>
      </w:r>
      <w:r>
        <w:t>evidence review, data analysis</w:t>
      </w:r>
      <w:r w:rsidR="6AC989D6">
        <w:t>/synthesis</w:t>
      </w:r>
      <w:r>
        <w:t xml:space="preserve"> and extensive sector consultation to guide development of </w:t>
      </w:r>
      <w:r w:rsidR="4302B67B">
        <w:t>th</w:t>
      </w:r>
      <w:r w:rsidR="56BF5A0E">
        <w:t>is</w:t>
      </w:r>
      <w:r>
        <w:t xml:space="preserve"> Theory of Change.</w:t>
      </w:r>
      <w:r w:rsidR="3B235BA8">
        <w:t xml:space="preserve"> </w:t>
      </w:r>
      <w:r w:rsidR="00355D56">
        <w:t xml:space="preserve">The evidence showed few effective SVH primary prevention interventions exist </w:t>
      </w:r>
      <w:r w:rsidR="00355D56" w:rsidRPr="006A192A">
        <w:rPr>
          <w:rStyle w:val="LTU-Body10ptChar"/>
        </w:rPr>
        <w:fldChar w:fldCharType="begin" w:fldLock="1"/>
      </w:r>
      <w:r w:rsidR="00355D56">
        <w:rPr>
          <w:rStyle w:val="LTU-Body10ptChar"/>
        </w:rPr>
        <w:instrText>ADDIN CSL_CITATION {"citationItems":[{"id":"ITEM-1","itemData":{"author":[{"dropping-particle":"","family":"Hooker","given":"Leesa","non-dropping-particle":"","parse-names":false,"suffix":""},{"dropping-particle":"","family":"Ison","given":"Jessica","non-dropping-particle":"","parse-names":false,"suffix":""},{"dropping-particle":"","family":"O'Sullivan","given":"Grant","non-dropping-particle":"","parse-names":false,"suffix":""},{"dropping-particle":"","family":"Fisher","given":"Christopher","non-dropping-particle":"","parse-names":false,"suffix":""},{"dropping-particle":"","family":"Henry","given":"Nicola","non-dropping-particle":"","parse-names":false,"suffix":""},{"dropping-particle":"","family":"Forsdike","given":"Kirsty","non-dropping-particle":"","parse-names":false,"suffix":""},{"dropping-particle":"","family":"Young","given":"Felicity","non-dropping-particle":"","parse-names":false,"suffix":""},{"dropping-particle":"","family":"Taft","given":"Angela","non-dropping-particle":"","parse-names":false,"suffix":""}],"id":"ITEM-1","issued":{"date-parts":[["2020"]]},"publisher":"Australian Government Department of Social Services","publisher-place":"Melbourne","title":"Primary prevention of sexual violence and harassment against women and girls: Combining evidence and practice knowledge - Research report","type":"book"},"uris":["http://www.mendeley.com/documents/?uuid=ad3c882d-be80-460c-a4f7-9942f156a744"]}],"mendeley":{"formattedCitation":"(Hooker et al., 2020)","plainTextFormattedCitation":"(Hooker et al., 2020)","previouslyFormattedCitation":"(Hooker et al., 2020)"},"properties":{"noteIndex":0},"schema":"https://github.com/citation-style-language/schema/raw/master/csl-citation.json"}</w:instrText>
      </w:r>
      <w:r w:rsidR="00355D56" w:rsidRPr="006A192A">
        <w:rPr>
          <w:rStyle w:val="LTU-Body10ptChar"/>
        </w:rPr>
        <w:fldChar w:fldCharType="separate"/>
      </w:r>
      <w:r w:rsidR="00355D56" w:rsidRPr="006A192A">
        <w:rPr>
          <w:rStyle w:val="LTU-Body10ptChar"/>
          <w:noProof/>
        </w:rPr>
        <w:t>(Hooker et al., 2020)</w:t>
      </w:r>
      <w:r w:rsidR="00355D56" w:rsidRPr="006A192A">
        <w:rPr>
          <w:rStyle w:val="LTU-Body10ptChar"/>
        </w:rPr>
        <w:fldChar w:fldCharType="end"/>
      </w:r>
      <w:r w:rsidR="00355D56" w:rsidRPr="00926D0A">
        <w:t xml:space="preserve">. </w:t>
      </w:r>
      <w:r w:rsidR="00355D56">
        <w:t xml:space="preserve">With a clear understanding of the global evidence, the research progressed to explore the primary prevention of SVH within the Australian context. </w:t>
      </w:r>
    </w:p>
    <w:p w14:paraId="4435054B" w14:textId="092BBB1E" w:rsidR="00355D56" w:rsidRPr="00355D56" w:rsidRDefault="65CC8904" w:rsidP="00E36091">
      <w:pPr>
        <w:pStyle w:val="LTU-Subhead2"/>
      </w:pPr>
      <w:bookmarkStart w:id="38" w:name="_Toc67035840"/>
      <w:r>
        <w:t>Sector Consultations</w:t>
      </w:r>
      <w:bookmarkEnd w:id="38"/>
    </w:p>
    <w:p w14:paraId="71883318" w14:textId="092BBB1E" w:rsidR="00355D56" w:rsidRPr="00355D56" w:rsidRDefault="00355D56" w:rsidP="00926D0A">
      <w:pPr>
        <w:pStyle w:val="LTU-Body10pt"/>
        <w:rPr>
          <w:lang w:bidi="en-US"/>
        </w:rPr>
      </w:pPr>
      <w:r>
        <w:t>To gain a stronger understanding of key factors, we conducted consultations with specialist sexual violence services, women’s sector and key organisations/experts across Australia to gain further insight into SVH primary prevention activities, the experiences and the suggested SVH prevention priorities of service users and providers.</w:t>
      </w:r>
    </w:p>
    <w:p w14:paraId="739B1098" w14:textId="466E1373" w:rsidR="00F41953" w:rsidRPr="00945DCE" w:rsidRDefault="00F41953" w:rsidP="00292F96">
      <w:pPr>
        <w:pStyle w:val="LTU-Bullets10pt"/>
      </w:pPr>
      <w:r w:rsidRPr="00945DCE">
        <w:t>Targeted areas</w:t>
      </w:r>
      <w:r w:rsidR="2A096BA2">
        <w:t>,</w:t>
      </w:r>
      <w:r w:rsidRPr="00945DCE">
        <w:t xml:space="preserve"> in addition to the specialist sexual and family violence sector</w:t>
      </w:r>
      <w:r w:rsidR="7A950298">
        <w:t>,</w:t>
      </w:r>
      <w:r w:rsidRPr="00945DCE">
        <w:t xml:space="preserve"> were across diverse groups with stakeholders invited to interactive online workshops according to their primary prevention expertise and knowledge, rather than geographical location. </w:t>
      </w:r>
    </w:p>
    <w:p w14:paraId="0B5A1CFE" w14:textId="1579EC35" w:rsidR="0044726C" w:rsidRDefault="003A2245" w:rsidP="003A2245">
      <w:pPr>
        <w:pStyle w:val="LTU-Body10pt"/>
      </w:pPr>
      <w:r w:rsidRPr="00945DCE">
        <w:t xml:space="preserve">The final </w:t>
      </w:r>
      <w:r w:rsidR="0030640D">
        <w:t>10</w:t>
      </w:r>
      <w:r w:rsidR="0030640D" w:rsidRPr="00945DCE">
        <w:t xml:space="preserve"> </w:t>
      </w:r>
      <w:r w:rsidRPr="00945DCE">
        <w:t xml:space="preserve">key areas of consultation included: </w:t>
      </w:r>
    </w:p>
    <w:p w14:paraId="78F63513" w14:textId="77777777" w:rsidR="00E36091" w:rsidRDefault="00E36091" w:rsidP="00643FE0">
      <w:pPr>
        <w:pStyle w:val="LTU-Bullets0pt"/>
        <w:rPr>
          <w:rFonts w:eastAsiaTheme="minorEastAsia" w:cstheme="minorBidi"/>
          <w:szCs w:val="24"/>
        </w:rPr>
      </w:pPr>
      <w:r w:rsidRPr="00945DCE">
        <w:t>Sexual Violence Services</w:t>
      </w:r>
    </w:p>
    <w:p w14:paraId="185EFF82" w14:textId="77777777" w:rsidR="00E36091" w:rsidRDefault="00E36091" w:rsidP="00643FE0">
      <w:pPr>
        <w:pStyle w:val="LTU-Bullets0pt"/>
        <w:rPr>
          <w:rFonts w:eastAsiaTheme="minorEastAsia" w:cstheme="minorBidi"/>
          <w:szCs w:val="24"/>
        </w:rPr>
      </w:pPr>
      <w:r w:rsidRPr="00945DCE">
        <w:t>Early Education and Young People (under 18 years old)</w:t>
      </w:r>
    </w:p>
    <w:p w14:paraId="0F7CE8EF" w14:textId="77777777" w:rsidR="00E36091" w:rsidRDefault="00E36091" w:rsidP="00643FE0">
      <w:pPr>
        <w:pStyle w:val="LTU-Bullets0pt"/>
        <w:rPr>
          <w:rFonts w:eastAsiaTheme="minorEastAsia" w:cstheme="minorBidi"/>
          <w:szCs w:val="24"/>
        </w:rPr>
      </w:pPr>
      <w:r w:rsidRPr="00945DCE">
        <w:t>Higher Education and Youth (18–25-year</w:t>
      </w:r>
      <w:r>
        <w:t>-</w:t>
      </w:r>
      <w:r w:rsidRPr="00945DCE">
        <w:t>olds)</w:t>
      </w:r>
    </w:p>
    <w:p w14:paraId="4600CFF9" w14:textId="77777777" w:rsidR="00E36091" w:rsidRDefault="00E36091" w:rsidP="00643FE0">
      <w:pPr>
        <w:pStyle w:val="LTU-Bullets0pt"/>
        <w:rPr>
          <w:rFonts w:eastAsiaTheme="minorEastAsia" w:cstheme="minorBidi"/>
          <w:szCs w:val="24"/>
        </w:rPr>
      </w:pPr>
      <w:r w:rsidRPr="00945DCE">
        <w:t>Technology</w:t>
      </w:r>
    </w:p>
    <w:p w14:paraId="2837514F" w14:textId="77777777" w:rsidR="00E36091" w:rsidRDefault="00E36091" w:rsidP="00643FE0">
      <w:pPr>
        <w:pStyle w:val="LTU-Bullets0pt"/>
        <w:rPr>
          <w:rFonts w:eastAsiaTheme="minorEastAsia" w:cstheme="minorBidi"/>
          <w:szCs w:val="24"/>
        </w:rPr>
      </w:pPr>
      <w:r w:rsidRPr="00945DCE">
        <w:t>Workplace</w:t>
      </w:r>
    </w:p>
    <w:p w14:paraId="6D3712F9" w14:textId="77777777" w:rsidR="00E36091" w:rsidRDefault="00E36091" w:rsidP="00643FE0">
      <w:pPr>
        <w:pStyle w:val="LTU-Bullets0pt"/>
        <w:rPr>
          <w:rFonts w:eastAsiaTheme="minorEastAsia" w:cstheme="minorBidi"/>
          <w:szCs w:val="24"/>
        </w:rPr>
      </w:pPr>
      <w:r w:rsidRPr="00945DCE">
        <w:t>Community Groups</w:t>
      </w:r>
    </w:p>
    <w:p w14:paraId="74DFBB09" w14:textId="77777777" w:rsidR="00E36091" w:rsidRDefault="00E36091" w:rsidP="00643FE0">
      <w:pPr>
        <w:pStyle w:val="LTU-Bullets0pt"/>
        <w:rPr>
          <w:rFonts w:eastAsiaTheme="minorEastAsia" w:cstheme="minorBidi"/>
          <w:szCs w:val="24"/>
        </w:rPr>
      </w:pPr>
      <w:r w:rsidRPr="00945DCE">
        <w:t>Bystander and Perpetrators</w:t>
      </w:r>
    </w:p>
    <w:p w14:paraId="46174DB7" w14:textId="77777777" w:rsidR="00E36091" w:rsidRDefault="00E36091" w:rsidP="00643FE0">
      <w:pPr>
        <w:pStyle w:val="LTU-Bullets0pt"/>
        <w:rPr>
          <w:rFonts w:eastAsiaTheme="minorEastAsia" w:cstheme="minorBidi"/>
          <w:szCs w:val="24"/>
        </w:rPr>
      </w:pPr>
      <w:r w:rsidRPr="00945DCE">
        <w:t>Legal and Human Rights</w:t>
      </w:r>
    </w:p>
    <w:p w14:paraId="070D52A8" w14:textId="77777777" w:rsidR="00E36091" w:rsidRDefault="00E36091" w:rsidP="00643FE0">
      <w:pPr>
        <w:pStyle w:val="LTU-Bullets0pt"/>
        <w:rPr>
          <w:rFonts w:eastAsiaTheme="minorEastAsia" w:cstheme="minorBidi"/>
          <w:szCs w:val="24"/>
        </w:rPr>
      </w:pPr>
      <w:r w:rsidRPr="00945DCE">
        <w:t>Women’s Health</w:t>
      </w:r>
    </w:p>
    <w:p w14:paraId="25289D19" w14:textId="77777777" w:rsidR="00E36091" w:rsidRPr="0099141F" w:rsidRDefault="00E36091" w:rsidP="00643FE0">
      <w:pPr>
        <w:pStyle w:val="LTU-Bullets0pt"/>
        <w:rPr>
          <w:rFonts w:eastAsiaTheme="minorEastAsia" w:cstheme="minorBidi"/>
          <w:szCs w:val="24"/>
        </w:rPr>
      </w:pPr>
      <w:r w:rsidRPr="00945DCE">
        <w:t>National Organisations</w:t>
      </w:r>
    </w:p>
    <w:p w14:paraId="5E926E6B" w14:textId="121E0EB0" w:rsidR="00EA2E16" w:rsidRPr="00EA2E16" w:rsidRDefault="0030640D" w:rsidP="00F2794D">
      <w:pPr>
        <w:pStyle w:val="LTU-Body10pt"/>
      </w:pPr>
      <w:r>
        <w:t>S</w:t>
      </w:r>
      <w:r w:rsidR="00927193" w:rsidRPr="00945DCE">
        <w:t>ector consultations were conducted via online co-design workshops.</w:t>
      </w:r>
      <w:r w:rsidR="00157B9F" w:rsidRPr="00157B9F">
        <w:t xml:space="preserve"> </w:t>
      </w:r>
      <w:r w:rsidR="00157B9F" w:rsidRPr="00945DCE">
        <w:t>The co-design workshops followed a pre-designed structure, activity tasks, and expert facilitation</w:t>
      </w:r>
      <w:r w:rsidR="577C9ECB">
        <w:t xml:space="preserve"> </w:t>
      </w:r>
      <w:r w:rsidR="00157B9F">
        <w:t xml:space="preserve"> </w:t>
      </w:r>
      <w:r w:rsidR="00662249" w:rsidRPr="00945DCE">
        <w:fldChar w:fldCharType="begin" w:fldLock="1"/>
      </w:r>
      <w:r w:rsidR="00662249" w:rsidRPr="00945DCE">
        <w:instrText>ADDIN CSL_CITATION {"citationItems":[{"id":"ITEM-1","itemData":{"DOI":"10.1111/1467-8500.12310","ISSN":"03136647","abstract":"As a novel method for creatively engaging citizens and stakeholders to find solutions to complex problems, co-design holds great promise for policy makers. It has been vaunted as a way to generate more innovative ideas, ensure policies and services match the needs of citizens, achieve economic efficiencies by improving responsiveness, foster cooperation and trust between different groups, meaningfully engage the ‘hard to reach’, and achieve support for change. This article considers how we might determine whether co-design has real potential to dramatically improve policy processes and outcomes. Drawing on relevant literature on participatory design, design thinking and public sector innovation, this review explores the meaning and potential of co-design in the context of public policy. It highlights the philosophical underpinnings and normative implications of participatory design, and questions the feasibility of achieving the promised outcomes in the challenging context of contemporary policy making.","author":[{"dropping-particle":"","family":"Blomkamp","given":"Emma","non-dropping-particle":"","parse-names":false,"suffix":""}],"container-title":"Australian Journal of Public Administration","id":"ITEM-1","issue":"4","issued":{"date-parts":[["2018","12","1"]]},"page":"729-743","publisher":"Blackwell Publishing Ltd","title":"The promise of co-design for public policy","type":"article-journal","volume":"77"},"uris":["http://www.mendeley.com/documents/?uuid=9e415e22-8e95-33a6-ac7d-ccce7ceb003f"]}],"mendeley":{"formattedCitation":"(Blomkamp, 2018)","plainTextFormattedCitation":"(Blomkamp, 2018)","previouslyFormattedCitation":"(Blomkamp, 2018)"},"properties":{"noteIndex":0},"schema":"https://github.com/citation-style-language/schema/raw/master/csl-citation.json"}</w:instrText>
      </w:r>
      <w:r w:rsidR="00662249" w:rsidRPr="00945DCE">
        <w:fldChar w:fldCharType="separate"/>
      </w:r>
      <w:r w:rsidR="00662249" w:rsidRPr="00945DCE">
        <w:rPr>
          <w:noProof/>
        </w:rPr>
        <w:t>(Blomkamp, 2018)</w:t>
      </w:r>
      <w:r w:rsidR="00662249" w:rsidRPr="00945DCE">
        <w:fldChar w:fldCharType="end"/>
      </w:r>
      <w:r w:rsidR="00157B9F" w:rsidRPr="00945DCE">
        <w:t>. Remote team collaborative software—</w:t>
      </w:r>
      <w:r w:rsidR="00157B9F" w:rsidRPr="00945DCE">
        <w:rPr>
          <w:i/>
          <w:iCs/>
        </w:rPr>
        <w:t>Miro</w:t>
      </w:r>
      <w:r w:rsidR="00B46198" w:rsidRPr="00945DCE">
        <w:t>—</w:t>
      </w:r>
      <w:r w:rsidR="00157B9F" w:rsidRPr="00945DCE">
        <w:t>was used. This software allows for visual and interactive collaboration through a</w:t>
      </w:r>
      <w:r w:rsidR="00376A78">
        <w:t>n online</w:t>
      </w:r>
      <w:r w:rsidR="00157B9F" w:rsidRPr="00945DCE">
        <w:t xml:space="preserve"> whiteboard platform.</w:t>
      </w:r>
    </w:p>
    <w:p w14:paraId="4C59E7AD" w14:textId="77777777" w:rsidR="00E36091" w:rsidRDefault="00E36091" w:rsidP="00292F96">
      <w:pPr>
        <w:pStyle w:val="Pullouts"/>
      </w:pPr>
      <w:r>
        <w:lastRenderedPageBreak/>
        <w:t xml:space="preserve">“Actively challenging violence-supporting narratives and culture includes education about respectful relationships, raising awareness about rigid gender norms and supporting a wide range of gender expression as well as ensuring women and people in groups who experience marginalisation are in positions of leadership and decision making.” </w:t>
      </w:r>
    </w:p>
    <w:p w14:paraId="433CA5CC" w14:textId="56127D81" w:rsidR="00E36091" w:rsidRPr="00063F90" w:rsidRDefault="00E36091" w:rsidP="00292F96">
      <w:pPr>
        <w:pStyle w:val="Pullouts"/>
        <w:jc w:val="right"/>
      </w:pPr>
      <w:r>
        <w:t>--</w:t>
      </w:r>
      <w:r w:rsidRPr="00E36091">
        <w:t>Survey respondent</w:t>
      </w:r>
    </w:p>
    <w:p w14:paraId="2E27D921" w14:textId="5219CF90" w:rsidR="00A2605E" w:rsidRPr="00A2605E" w:rsidRDefault="00A2605E" w:rsidP="00A2605E"/>
    <w:p w14:paraId="03F4BDD6" w14:textId="4BB8F373" w:rsidR="00073D86" w:rsidRPr="003C4C52" w:rsidRDefault="00A2605E" w:rsidP="003E5897">
      <w:pPr>
        <w:pStyle w:val="LTU-Subhead2"/>
        <w:rPr>
          <w:rFonts w:ascii="Roboto" w:hAnsi="Roboto"/>
        </w:rPr>
      </w:pPr>
      <w:bookmarkStart w:id="39" w:name="_Toc67035841"/>
      <w:r>
        <w:t>Key findings</w:t>
      </w:r>
      <w:r w:rsidR="008836A9">
        <w:t xml:space="preserve"> </w:t>
      </w:r>
      <w:r w:rsidR="0030640D">
        <w:t xml:space="preserve">– </w:t>
      </w:r>
      <w:r w:rsidR="30D4BB09">
        <w:t xml:space="preserve">Evidence </w:t>
      </w:r>
      <w:r w:rsidR="008836A9">
        <w:t>R</w:t>
      </w:r>
      <w:r w:rsidR="30D4BB09">
        <w:t xml:space="preserve">eview and </w:t>
      </w:r>
      <w:r w:rsidR="008836A9">
        <w:t>D</w:t>
      </w:r>
      <w:r w:rsidR="30D4BB09">
        <w:t xml:space="preserve">ata </w:t>
      </w:r>
      <w:r w:rsidR="008836A9">
        <w:t>A</w:t>
      </w:r>
      <w:r w:rsidR="30D4BB09">
        <w:t>nalysis/</w:t>
      </w:r>
      <w:r w:rsidR="008836A9">
        <w:t>S</w:t>
      </w:r>
      <w:r w:rsidR="30D4BB09">
        <w:t>ynthesis</w:t>
      </w:r>
      <w:bookmarkEnd w:id="39"/>
    </w:p>
    <w:p w14:paraId="0D5FBD7B" w14:textId="1625AE44" w:rsidR="004519C0" w:rsidRDefault="000901D0" w:rsidP="00A50351">
      <w:pPr>
        <w:pStyle w:val="LTU-Body10pt"/>
        <w:sectPr w:rsidR="004519C0" w:rsidSect="00DC1E66">
          <w:pgSz w:w="11906" w:h="16838"/>
          <w:pgMar w:top="720" w:right="720" w:bottom="720" w:left="720" w:header="708" w:footer="708" w:gutter="0"/>
          <w:cols w:space="708"/>
          <w:docGrid w:linePitch="360"/>
        </w:sectPr>
      </w:pPr>
      <w:r>
        <w:t xml:space="preserve">This </w:t>
      </w:r>
      <w:r w:rsidR="002F5837">
        <w:t>Evidence Review and Data Analysis/</w:t>
      </w:r>
      <w:r w:rsidR="00B935CB">
        <w:t>S</w:t>
      </w:r>
      <w:r w:rsidR="002F5837">
        <w:t>y</w:t>
      </w:r>
      <w:r w:rsidR="00B935CB">
        <w:t xml:space="preserve">nthesis summary fact sheet </w:t>
      </w:r>
      <w:r w:rsidR="00E26FE6">
        <w:t>(</w:t>
      </w:r>
      <w:r w:rsidR="00B935CB">
        <w:t>below</w:t>
      </w:r>
      <w:r w:rsidR="00E26FE6">
        <w:t>)</w:t>
      </w:r>
      <w:r w:rsidR="00B935CB">
        <w:t xml:space="preserve"> </w:t>
      </w:r>
      <w:r>
        <w:t>should be read in conjunction wi</w:t>
      </w:r>
      <w:r w:rsidR="00AA1994">
        <w:t>th</w:t>
      </w:r>
      <w:r>
        <w:t xml:space="preserve"> </w:t>
      </w:r>
      <w:r w:rsidR="00AA1994">
        <w:rPr>
          <w:i/>
          <w:iCs/>
        </w:rPr>
        <w:t xml:space="preserve">Primary prevention of sexual violence and harassment against women and girls: Combining evidence and practice knowledge </w:t>
      </w:r>
      <w:r w:rsidR="00AA1994">
        <w:rPr>
          <w:rStyle w:val="FootnoteReference"/>
          <w:i/>
          <w:iCs/>
        </w:rPr>
        <w:fldChar w:fldCharType="begin" w:fldLock="1"/>
      </w:r>
      <w:r w:rsidR="00CE3847">
        <w:rPr>
          <w:iCs/>
        </w:rPr>
        <w:instrText>ADDIN CSL_CITATION {"citationItems":[{"id":"ITEM-1","itemData":{"author":[{"dropping-particle":"","family":"Hooker","given":"Leesa","non-dropping-particle":"","parse-names":false,"suffix":""},{"dropping-particle":"","family":"Ison","given":"Jessica","non-dropping-particle":"","parse-names":false,"suffix":""},{"dropping-particle":"","family":"O'Sullivan","given":"Grant","non-dropping-particle":"","parse-names":false,"suffix":""},{"dropping-particle":"","family":"Fisher","given":"Christopher","non-dropping-particle":"","parse-names":false,"suffix":""},{"dropping-particle":"","family":"Henry","given":"Nicola","non-dropping-particle":"","parse-names":false,"suffix":""},{"dropping-particle":"","family":"Forsdike","given":"Kirsty","non-dropping-particle":"","parse-names":false,"suffix":""},{"dropping-particle":"","family":"Young","given":"Felicity","non-dropping-particle":"","parse-names":false,"suffix":""},{"dropping-particle":"","family":"Taft","given":"Angela","non-dropping-particle":"","parse-names":false,"suffix":""}],"id":"ITEM-1","issued":{"date-parts":[["2020"]]},"publisher":"Australian Government Department of Social Services","publisher-place":"Melbourne","title":"Primary prevention of sexual violence and harassment against women and girls: Combining evidence and practice knowledge - Research report","type":"book"},"uris":["http://www.mendeley.com/documents/?uuid=ad3c882d-be80-460c-a4f7-9942f156a744"]}],"mendeley":{"formattedCitation":"(Hooker et al., 2020)","plainTextFormattedCitation":"(Hooker et al., 2020)","previouslyFormattedCitation":"(Hooker et al., 2020)"},"properties":{"noteIndex":0},"schema":"https://github.com/citation-style-language/schema/raw/master/csl-citation.json"}</w:instrText>
      </w:r>
      <w:r w:rsidR="00AA1994">
        <w:rPr>
          <w:rStyle w:val="FootnoteReference"/>
          <w:i/>
          <w:iCs/>
        </w:rPr>
        <w:fldChar w:fldCharType="separate"/>
      </w:r>
      <w:r w:rsidR="00AA1994" w:rsidRPr="00AA1994">
        <w:rPr>
          <w:iCs/>
          <w:noProof/>
        </w:rPr>
        <w:t>(Hooker et al., 2020)</w:t>
      </w:r>
      <w:r w:rsidR="00AA1994">
        <w:rPr>
          <w:rStyle w:val="FootnoteReference"/>
          <w:i/>
          <w:iCs/>
        </w:rPr>
        <w:fldChar w:fldCharType="end"/>
      </w:r>
      <w:r w:rsidR="00AA1994">
        <w:t>, the background document to the development of the Theory of Change.</w:t>
      </w:r>
      <w:bookmarkStart w:id="40" w:name="_Hlk81482196"/>
    </w:p>
    <w:p w14:paraId="03DBA522" w14:textId="0D9BC727" w:rsidR="004519C0" w:rsidRPr="00EA2FC0" w:rsidRDefault="004519C0" w:rsidP="004519C0">
      <w:pPr>
        <w:rPr>
          <w:rFonts w:ascii="Roboto" w:hAnsi="Roboto"/>
        </w:rPr>
      </w:pPr>
      <w:bookmarkStart w:id="41" w:name="_Hlk47606544"/>
      <w:bookmarkEnd w:id="41"/>
    </w:p>
    <w:p w14:paraId="01ED5FCC" w14:textId="6519C91A" w:rsidR="00FC14C2" w:rsidRDefault="00FC14C2" w:rsidP="00FC14C2">
      <w:pPr>
        <w:pStyle w:val="LTU-Sectionheading"/>
      </w:pPr>
      <w:r>
        <w:t>Summary</w:t>
      </w:r>
    </w:p>
    <w:p w14:paraId="01DAA1AF" w14:textId="77777777" w:rsidR="00FC14C2" w:rsidRPr="00C17ACE" w:rsidRDefault="00FC14C2" w:rsidP="00A429E0">
      <w:pPr>
        <w:pStyle w:val="LTU-Subhead1"/>
        <w:pBdr>
          <w:top w:val="single" w:sz="24" w:space="8" w:color="auto"/>
          <w:bottom w:val="single" w:sz="24" w:space="8" w:color="auto"/>
        </w:pBdr>
      </w:pPr>
      <w:r w:rsidRPr="00C17ACE">
        <w:t xml:space="preserve">Primary Prevention of Sexual Violence </w:t>
      </w:r>
      <w:r>
        <w:t xml:space="preserve">and Harassment </w:t>
      </w:r>
      <w:r w:rsidRPr="00C17ACE">
        <w:t>Against Women</w:t>
      </w:r>
      <w:r>
        <w:t xml:space="preserve"> and Girls</w:t>
      </w:r>
      <w:r w:rsidRPr="00C17ACE">
        <w:t>: Combining Evidence and Practice Knowledge</w:t>
      </w:r>
    </w:p>
    <w:p w14:paraId="5ADB4087" w14:textId="77777777" w:rsidR="00FC14C2" w:rsidRPr="00515D20" w:rsidRDefault="00FC14C2" w:rsidP="003A76AD">
      <w:pPr>
        <w:spacing w:after="0"/>
        <w:jc w:val="both"/>
        <w:rPr>
          <w:rFonts w:ascii="Roboto" w:hAnsi="Roboto"/>
          <w:sz w:val="26"/>
          <w:szCs w:val="26"/>
        </w:rPr>
      </w:pPr>
      <w:r w:rsidRPr="00515D20">
        <w:rPr>
          <w:rFonts w:ascii="Roboto" w:hAnsi="Roboto"/>
          <w:sz w:val="26"/>
          <w:szCs w:val="26"/>
        </w:rPr>
        <w:t xml:space="preserve">The aim of the project is to identify effective primary prevention sexual violence and harassment </w:t>
      </w:r>
      <w:r>
        <w:rPr>
          <w:rFonts w:ascii="Roboto" w:hAnsi="Roboto"/>
          <w:sz w:val="26"/>
          <w:szCs w:val="26"/>
        </w:rPr>
        <w:t xml:space="preserve">(SVH) </w:t>
      </w:r>
      <w:r w:rsidRPr="00515D20">
        <w:rPr>
          <w:rFonts w:ascii="Roboto" w:hAnsi="Roboto"/>
          <w:sz w:val="26"/>
          <w:szCs w:val="26"/>
        </w:rPr>
        <w:t xml:space="preserve">interventions at all levels of the ecological model and develop a Theory of Change to guide future research and policy in the primary prevention of </w:t>
      </w:r>
      <w:r>
        <w:rPr>
          <w:rFonts w:ascii="Roboto" w:hAnsi="Roboto"/>
          <w:sz w:val="26"/>
          <w:szCs w:val="26"/>
        </w:rPr>
        <w:t>SVH</w:t>
      </w:r>
      <w:r w:rsidRPr="00515D20">
        <w:rPr>
          <w:rFonts w:ascii="Roboto" w:hAnsi="Roboto"/>
          <w:sz w:val="26"/>
          <w:szCs w:val="26"/>
        </w:rPr>
        <w:t>.</w:t>
      </w:r>
    </w:p>
    <w:p w14:paraId="3B99C9D8" w14:textId="09438A17" w:rsidR="00FC14C2" w:rsidRPr="00504F93" w:rsidRDefault="00FC14C2" w:rsidP="00FC14C2">
      <w:pPr>
        <w:pStyle w:val="LTU-Subhead2"/>
      </w:pPr>
      <w:r w:rsidRPr="00504F93">
        <w:t>Evidence Review</w:t>
      </w:r>
    </w:p>
    <w:p w14:paraId="31123745" w14:textId="77777777" w:rsidR="00FC14C2" w:rsidRPr="00776D9A" w:rsidRDefault="00FC14C2" w:rsidP="00FC14C2">
      <w:pPr>
        <w:spacing w:after="120"/>
        <w:rPr>
          <w:rFonts w:ascii="Roboto" w:hAnsi="Roboto" w:cstheme="minorHAnsi"/>
          <w:color w:val="000000" w:themeColor="text1"/>
          <w:sz w:val="24"/>
          <w:szCs w:val="24"/>
        </w:rPr>
      </w:pPr>
      <w:r w:rsidRPr="00776D9A">
        <w:rPr>
          <w:rFonts w:ascii="Roboto" w:hAnsi="Roboto" w:cstheme="minorHAnsi"/>
          <w:color w:val="000000" w:themeColor="text1"/>
          <w:sz w:val="24"/>
          <w:szCs w:val="24"/>
        </w:rPr>
        <w:t xml:space="preserve">Extensive searching </w:t>
      </w:r>
      <w:r w:rsidRPr="00776D9A">
        <w:rPr>
          <w:rFonts w:ascii="Roboto" w:hAnsi="Roboto" w:cstheme="minorHAnsi"/>
          <w:b/>
          <w:bCs/>
          <w:color w:val="000000" w:themeColor="text1"/>
          <w:sz w:val="24"/>
          <w:szCs w:val="24"/>
        </w:rPr>
        <w:t>identified 4,156 records with 203 relevant records</w:t>
      </w:r>
      <w:r w:rsidRPr="00776D9A">
        <w:rPr>
          <w:rFonts w:ascii="Roboto" w:hAnsi="Roboto" w:cstheme="minorHAnsi"/>
          <w:color w:val="000000" w:themeColor="text1"/>
          <w:sz w:val="24"/>
          <w:szCs w:val="24"/>
        </w:rPr>
        <w:t xml:space="preserve"> assessed for final inclusion. Following full text review, </w:t>
      </w:r>
      <w:r w:rsidRPr="00776D9A">
        <w:rPr>
          <w:rFonts w:ascii="Roboto" w:hAnsi="Roboto" w:cstheme="minorHAnsi"/>
          <w:b/>
          <w:bCs/>
          <w:color w:val="000000" w:themeColor="text1"/>
          <w:sz w:val="24"/>
          <w:szCs w:val="24"/>
        </w:rPr>
        <w:t>97 studies in total met our inclusion criteria, 86 peer-reviewed</w:t>
      </w:r>
      <w:r w:rsidRPr="00776D9A">
        <w:rPr>
          <w:rFonts w:ascii="Roboto" w:hAnsi="Roboto" w:cstheme="minorHAnsi"/>
          <w:color w:val="000000" w:themeColor="text1"/>
          <w:sz w:val="24"/>
          <w:szCs w:val="24"/>
        </w:rPr>
        <w:t xml:space="preserve"> and </w:t>
      </w:r>
      <w:r w:rsidRPr="00776D9A">
        <w:rPr>
          <w:rFonts w:ascii="Roboto" w:hAnsi="Roboto" w:cstheme="minorHAnsi"/>
          <w:b/>
          <w:bCs/>
          <w:color w:val="000000" w:themeColor="text1"/>
          <w:sz w:val="24"/>
          <w:szCs w:val="24"/>
        </w:rPr>
        <w:t>11 from grey literature</w:t>
      </w:r>
      <w:r w:rsidRPr="00776D9A">
        <w:rPr>
          <w:rFonts w:ascii="Roboto" w:hAnsi="Roboto" w:cstheme="minorHAnsi"/>
          <w:color w:val="000000" w:themeColor="text1"/>
          <w:sz w:val="24"/>
          <w:szCs w:val="24"/>
        </w:rPr>
        <w:t xml:space="preserve">. </w:t>
      </w:r>
    </w:p>
    <w:p w14:paraId="22DF25C3" w14:textId="77777777" w:rsidR="00FC14C2" w:rsidRPr="00776D9A" w:rsidRDefault="00FC14C2" w:rsidP="00FC14C2">
      <w:pPr>
        <w:spacing w:after="120"/>
        <w:rPr>
          <w:rFonts w:ascii="Roboto" w:hAnsi="Roboto" w:cstheme="minorHAnsi"/>
          <w:color w:val="000000" w:themeColor="text1"/>
          <w:sz w:val="24"/>
          <w:szCs w:val="24"/>
        </w:rPr>
      </w:pPr>
      <w:r w:rsidRPr="00776D9A">
        <w:rPr>
          <w:rFonts w:ascii="Roboto" w:hAnsi="Roboto" w:cstheme="minorHAnsi"/>
          <w:color w:val="000000" w:themeColor="text1"/>
          <w:sz w:val="24"/>
          <w:szCs w:val="24"/>
        </w:rPr>
        <w:t xml:space="preserve">Almost </w:t>
      </w:r>
      <w:r w:rsidRPr="00776D9A">
        <w:rPr>
          <w:rFonts w:ascii="Roboto" w:hAnsi="Roboto" w:cstheme="minorHAnsi"/>
          <w:b/>
          <w:bCs/>
          <w:color w:val="000000" w:themeColor="text1"/>
          <w:sz w:val="24"/>
          <w:szCs w:val="24"/>
        </w:rPr>
        <w:t>three quarters of the identified evidence (73%) was from the Unite</w:t>
      </w:r>
      <w:r>
        <w:rPr>
          <w:rFonts w:ascii="Roboto" w:hAnsi="Roboto" w:cstheme="minorHAnsi"/>
          <w:b/>
          <w:bCs/>
          <w:color w:val="000000" w:themeColor="text1"/>
          <w:sz w:val="24"/>
          <w:szCs w:val="24"/>
        </w:rPr>
        <w:t>d</w:t>
      </w:r>
      <w:r w:rsidRPr="00776D9A">
        <w:rPr>
          <w:rFonts w:ascii="Roboto" w:hAnsi="Roboto" w:cstheme="minorHAnsi"/>
          <w:b/>
          <w:bCs/>
          <w:color w:val="000000" w:themeColor="text1"/>
          <w:sz w:val="24"/>
          <w:szCs w:val="24"/>
        </w:rPr>
        <w:t xml:space="preserve"> States of America (US</w:t>
      </w:r>
      <w:r>
        <w:rPr>
          <w:rFonts w:ascii="Roboto" w:hAnsi="Roboto" w:cstheme="minorHAnsi"/>
          <w:b/>
          <w:bCs/>
          <w:color w:val="000000" w:themeColor="text1"/>
          <w:sz w:val="24"/>
          <w:szCs w:val="24"/>
        </w:rPr>
        <w:t>A</w:t>
      </w:r>
      <w:r w:rsidRPr="00776D9A">
        <w:rPr>
          <w:rFonts w:ascii="Roboto" w:hAnsi="Roboto" w:cstheme="minorHAnsi"/>
          <w:b/>
          <w:bCs/>
          <w:color w:val="000000" w:themeColor="text1"/>
          <w:sz w:val="24"/>
          <w:szCs w:val="24"/>
        </w:rPr>
        <w:t>)</w:t>
      </w:r>
      <w:r w:rsidRPr="00776D9A">
        <w:rPr>
          <w:rFonts w:ascii="Roboto" w:hAnsi="Roboto" w:cstheme="minorHAnsi"/>
          <w:color w:val="000000" w:themeColor="text1"/>
          <w:sz w:val="24"/>
          <w:szCs w:val="24"/>
        </w:rPr>
        <w:t xml:space="preserve"> primary and secondary interventions</w:t>
      </w:r>
      <w:r>
        <w:rPr>
          <w:rFonts w:ascii="Roboto" w:hAnsi="Roboto" w:cstheme="minorHAnsi"/>
          <w:color w:val="000000" w:themeColor="text1"/>
          <w:sz w:val="24"/>
          <w:szCs w:val="24"/>
        </w:rPr>
        <w:t xml:space="preserve"> </w:t>
      </w:r>
      <w:r w:rsidRPr="00776D9A">
        <w:rPr>
          <w:rFonts w:ascii="Roboto" w:hAnsi="Roboto" w:cstheme="minorHAnsi"/>
          <w:color w:val="000000" w:themeColor="text1"/>
          <w:sz w:val="24"/>
          <w:szCs w:val="24"/>
        </w:rPr>
        <w:t xml:space="preserve">combined. </w:t>
      </w:r>
    </w:p>
    <w:p w14:paraId="65B87F8E" w14:textId="77777777" w:rsidR="00FC14C2" w:rsidRPr="00776D9A" w:rsidRDefault="00FC14C2" w:rsidP="00FC14C2">
      <w:pPr>
        <w:spacing w:after="120"/>
        <w:rPr>
          <w:rFonts w:ascii="Roboto" w:hAnsi="Roboto" w:cstheme="minorHAnsi"/>
          <w:color w:val="000000" w:themeColor="text1"/>
          <w:sz w:val="24"/>
          <w:szCs w:val="24"/>
        </w:rPr>
      </w:pPr>
      <w:r w:rsidRPr="00776D9A">
        <w:rPr>
          <w:rFonts w:ascii="Roboto" w:hAnsi="Roboto" w:cstheme="minorHAnsi"/>
          <w:b/>
          <w:bCs/>
          <w:color w:val="000000" w:themeColor="text1"/>
          <w:sz w:val="24"/>
          <w:szCs w:val="24"/>
        </w:rPr>
        <w:t xml:space="preserve">Bystander </w:t>
      </w:r>
      <w:r w:rsidRPr="00776D9A">
        <w:rPr>
          <w:rFonts w:ascii="Roboto" w:hAnsi="Roboto" w:cstheme="minorHAnsi"/>
          <w:color w:val="000000" w:themeColor="text1"/>
          <w:sz w:val="24"/>
          <w:szCs w:val="24"/>
        </w:rPr>
        <w:t xml:space="preserve">and </w:t>
      </w:r>
      <w:r w:rsidRPr="00776D9A">
        <w:rPr>
          <w:rFonts w:ascii="Roboto" w:hAnsi="Roboto" w:cstheme="minorHAnsi"/>
          <w:b/>
          <w:bCs/>
          <w:color w:val="000000" w:themeColor="text1"/>
          <w:sz w:val="24"/>
          <w:szCs w:val="24"/>
        </w:rPr>
        <w:t>dating violence prevention</w:t>
      </w:r>
      <w:r w:rsidRPr="00776D9A">
        <w:rPr>
          <w:rFonts w:ascii="Roboto" w:hAnsi="Roboto" w:cstheme="minorHAnsi"/>
          <w:color w:val="000000" w:themeColor="text1"/>
          <w:sz w:val="24"/>
          <w:szCs w:val="24"/>
        </w:rPr>
        <w:t xml:space="preserve"> initiatives for young people </w:t>
      </w:r>
      <w:r w:rsidRPr="00776D9A">
        <w:rPr>
          <w:rFonts w:ascii="Roboto" w:hAnsi="Roboto" w:cstheme="minorHAnsi"/>
          <w:b/>
          <w:bCs/>
          <w:color w:val="000000" w:themeColor="text1"/>
          <w:sz w:val="24"/>
          <w:szCs w:val="24"/>
        </w:rPr>
        <w:t>dominated</w:t>
      </w:r>
      <w:r w:rsidRPr="00776D9A">
        <w:rPr>
          <w:rFonts w:ascii="Roboto" w:hAnsi="Roboto" w:cstheme="minorHAnsi"/>
          <w:color w:val="000000" w:themeColor="text1"/>
          <w:sz w:val="24"/>
          <w:szCs w:val="24"/>
        </w:rPr>
        <w:t xml:space="preserve"> the field (57%). </w:t>
      </w:r>
      <w:r w:rsidRPr="00776D9A">
        <w:rPr>
          <w:rFonts w:ascii="Roboto" w:hAnsi="Roboto" w:cstheme="minorHAnsi"/>
          <w:b/>
          <w:bCs/>
          <w:color w:val="000000" w:themeColor="text1"/>
          <w:sz w:val="24"/>
          <w:szCs w:val="24"/>
        </w:rPr>
        <w:t>Only 17%</w:t>
      </w:r>
      <w:r w:rsidRPr="00776D9A">
        <w:rPr>
          <w:rFonts w:ascii="Roboto" w:hAnsi="Roboto" w:cstheme="minorHAnsi"/>
          <w:color w:val="000000" w:themeColor="text1"/>
          <w:sz w:val="24"/>
          <w:szCs w:val="24"/>
        </w:rPr>
        <w:t xml:space="preserve"> of papers were classified as </w:t>
      </w:r>
      <w:r w:rsidRPr="00776D9A">
        <w:rPr>
          <w:rFonts w:ascii="Roboto" w:hAnsi="Roboto" w:cstheme="minorHAnsi"/>
          <w:b/>
          <w:bCs/>
          <w:color w:val="000000" w:themeColor="text1"/>
          <w:sz w:val="24"/>
          <w:szCs w:val="24"/>
        </w:rPr>
        <w:t>primary prevention studies</w:t>
      </w:r>
      <w:r w:rsidRPr="00776D9A">
        <w:rPr>
          <w:rFonts w:ascii="Roboto" w:hAnsi="Roboto" w:cstheme="minorHAnsi"/>
          <w:color w:val="000000" w:themeColor="text1"/>
          <w:sz w:val="24"/>
          <w:szCs w:val="24"/>
        </w:rPr>
        <w:t>.</w:t>
      </w:r>
    </w:p>
    <w:p w14:paraId="720262FE" w14:textId="77777777" w:rsidR="00FC14C2" w:rsidRPr="00776D9A" w:rsidRDefault="00FC14C2" w:rsidP="00FC14C2">
      <w:pPr>
        <w:spacing w:before="60" w:after="60"/>
        <w:rPr>
          <w:rFonts w:ascii="Roboto" w:hAnsi="Roboto" w:cstheme="minorHAnsi"/>
          <w:sz w:val="24"/>
          <w:szCs w:val="24"/>
        </w:rPr>
      </w:pPr>
      <w:r w:rsidRPr="00776D9A">
        <w:rPr>
          <w:rFonts w:ascii="Roboto" w:hAnsi="Roboto" w:cstheme="minorHAnsi"/>
          <w:b/>
          <w:bCs/>
          <w:sz w:val="24"/>
          <w:szCs w:val="24"/>
        </w:rPr>
        <w:t>Peer review findings</w:t>
      </w:r>
      <w:r w:rsidRPr="00776D9A">
        <w:rPr>
          <w:rFonts w:ascii="Roboto" w:hAnsi="Roboto" w:cstheme="minorHAnsi"/>
          <w:sz w:val="24"/>
          <w:szCs w:val="24"/>
        </w:rPr>
        <w:t xml:space="preserve"> were synthesised and reported according to the following groups:</w:t>
      </w:r>
    </w:p>
    <w:p w14:paraId="609CA681" w14:textId="02BBCB45" w:rsidR="00FC14C2" w:rsidRPr="00776D9A" w:rsidRDefault="00FC14C2" w:rsidP="006F1C63">
      <w:pPr>
        <w:pStyle w:val="LTU-Bulletlistnumber10pt"/>
      </w:pPr>
      <w:r w:rsidRPr="00776D9A">
        <w:rPr>
          <w:b/>
          <w:bCs/>
        </w:rPr>
        <w:t>Education-based bystander</w:t>
      </w:r>
      <w:r w:rsidRPr="00776D9A">
        <w:t xml:space="preserve"> and other relationship interventions in</w:t>
      </w:r>
      <w:r>
        <w:t xml:space="preserve"> </w:t>
      </w:r>
      <w:r w:rsidRPr="00776D9A">
        <w:t>universities/colleges and schools</w:t>
      </w:r>
    </w:p>
    <w:p w14:paraId="74AC82FE" w14:textId="77777777" w:rsidR="00FC14C2" w:rsidRPr="00776D9A" w:rsidRDefault="00FC14C2" w:rsidP="006F1C63">
      <w:pPr>
        <w:pStyle w:val="LTU-Bulletlistnumber10pt"/>
      </w:pPr>
      <w:r w:rsidRPr="00776D9A">
        <w:rPr>
          <w:b/>
          <w:bCs/>
        </w:rPr>
        <w:t>Workplace</w:t>
      </w:r>
      <w:r w:rsidRPr="00776D9A">
        <w:t xml:space="preserve"> prevention programs </w:t>
      </w:r>
    </w:p>
    <w:p w14:paraId="192A4C34" w14:textId="77777777" w:rsidR="00FC14C2" w:rsidRPr="00776D9A" w:rsidRDefault="00FC14C2" w:rsidP="006F1C63">
      <w:pPr>
        <w:pStyle w:val="LTU-Bulletlistnumber10pt"/>
      </w:pPr>
      <w:r w:rsidRPr="00776D9A">
        <w:t xml:space="preserve">Specific </w:t>
      </w:r>
      <w:r w:rsidRPr="00776D9A">
        <w:rPr>
          <w:b/>
          <w:bCs/>
        </w:rPr>
        <w:t>men’s programs</w:t>
      </w:r>
      <w:r w:rsidRPr="00776D9A">
        <w:t xml:space="preserve"> </w:t>
      </w:r>
    </w:p>
    <w:p w14:paraId="06BA192C" w14:textId="77777777" w:rsidR="00FC14C2" w:rsidRPr="00776D9A" w:rsidRDefault="00FC14C2" w:rsidP="006F1C63">
      <w:pPr>
        <w:pStyle w:val="LTU-Bulletlistnumber10pt"/>
      </w:pPr>
      <w:r w:rsidRPr="00776D9A">
        <w:t>Targeted</w:t>
      </w:r>
      <w:r w:rsidRPr="00776D9A">
        <w:rPr>
          <w:b/>
          <w:bCs/>
        </w:rPr>
        <w:t xml:space="preserve"> alcohol</w:t>
      </w:r>
      <w:r w:rsidRPr="00776D9A">
        <w:t xml:space="preserve"> interventions</w:t>
      </w:r>
    </w:p>
    <w:p w14:paraId="2C645BE4" w14:textId="77777777" w:rsidR="00FC14C2" w:rsidRPr="00776D9A" w:rsidRDefault="00FC14C2" w:rsidP="006F1C63">
      <w:pPr>
        <w:pStyle w:val="LTU-Bulletlistnumber10pt"/>
      </w:pPr>
      <w:r w:rsidRPr="00776D9A">
        <w:rPr>
          <w:b/>
          <w:bCs/>
        </w:rPr>
        <w:t>Parenting</w:t>
      </w:r>
      <w:r w:rsidRPr="00776D9A">
        <w:t xml:space="preserve"> interventions</w:t>
      </w:r>
    </w:p>
    <w:p w14:paraId="704690BD" w14:textId="77777777" w:rsidR="00FC14C2" w:rsidRPr="003A76AD" w:rsidRDefault="00FC14C2" w:rsidP="00292F96">
      <w:pPr>
        <w:pStyle w:val="LTU-Bullets10pt"/>
      </w:pPr>
      <w:r w:rsidRPr="003A76AD">
        <w:rPr>
          <w:rFonts w:eastAsia="Roboto"/>
        </w:rPr>
        <w:t>No Australian-only studies were identified in the peer reviewed literature</w:t>
      </w:r>
    </w:p>
    <w:p w14:paraId="1E37D368" w14:textId="77777777" w:rsidR="00FC14C2" w:rsidRPr="003A76AD" w:rsidRDefault="00FC14C2" w:rsidP="00292F96">
      <w:pPr>
        <w:pStyle w:val="LTU-Bullets10pt"/>
      </w:pPr>
      <w:r w:rsidRPr="003A76AD">
        <w:rPr>
          <w:rFonts w:eastAsia="Roboto"/>
        </w:rPr>
        <w:t>Seven studies were deemed effective at reducing or preventing sexual violence and harassment</w:t>
      </w:r>
    </w:p>
    <w:p w14:paraId="6CFAA64F" w14:textId="77777777" w:rsidR="00FC14C2" w:rsidRPr="003A76AD" w:rsidRDefault="00FC14C2" w:rsidP="00292F96">
      <w:pPr>
        <w:pStyle w:val="LTU-Bullets10pt"/>
      </w:pPr>
      <w:r w:rsidRPr="003A76AD">
        <w:rPr>
          <w:rFonts w:eastAsia="Roboto"/>
        </w:rPr>
        <w:t>US bystander type education or relationship programs involving young people were the most common intervention evaluated</w:t>
      </w:r>
    </w:p>
    <w:p w14:paraId="1FF37AAE" w14:textId="77777777" w:rsidR="00FC14C2" w:rsidRPr="003A76AD" w:rsidRDefault="00FC14C2" w:rsidP="00292F96">
      <w:pPr>
        <w:pStyle w:val="LTU-Bullets10pt"/>
      </w:pPr>
      <w:r w:rsidRPr="003A76AD">
        <w:rPr>
          <w:rFonts w:eastAsia="Roboto"/>
        </w:rPr>
        <w:lastRenderedPageBreak/>
        <w:t>Only two studies evaluated sexual harassment</w:t>
      </w:r>
    </w:p>
    <w:p w14:paraId="690EF46F" w14:textId="77777777" w:rsidR="00FC14C2" w:rsidRPr="003A76AD" w:rsidRDefault="00FC14C2" w:rsidP="00292F96">
      <w:pPr>
        <w:pStyle w:val="LTU-Bullets10pt"/>
      </w:pPr>
      <w:r w:rsidRPr="003A76AD">
        <w:rPr>
          <w:rFonts w:eastAsia="Roboto"/>
        </w:rPr>
        <w:t>Aboriginal and Torres Strait Islander women and girls, women and girls with disabilities or migrant and refugee women and girls and LGBTIQ communities were missing from the evidence</w:t>
      </w:r>
    </w:p>
    <w:p w14:paraId="440F954A" w14:textId="25E8CE4B" w:rsidR="000D3341" w:rsidRPr="008E32EF" w:rsidRDefault="000D3341" w:rsidP="000D3341">
      <w:pPr>
        <w:pStyle w:val="LTU-Subhead2"/>
      </w:pPr>
      <w:r w:rsidRPr="008E32EF">
        <w:t>Survey Data Analysis</w:t>
      </w:r>
    </w:p>
    <w:p w14:paraId="1575B855" w14:textId="77777777" w:rsidR="000D3341" w:rsidRPr="00DB06B0" w:rsidRDefault="000D3341" w:rsidP="000D3341">
      <w:pPr>
        <w:pStyle w:val="NoSpacing"/>
        <w:pBdr>
          <w:top w:val="dotted" w:sz="4" w:space="6" w:color="FFFFFF" w:themeColor="background1"/>
        </w:pBdr>
        <w:spacing w:after="60" w:line="276" w:lineRule="auto"/>
        <w:rPr>
          <w:rFonts w:ascii="Roboto" w:hAnsi="Roboto"/>
          <w:color w:val="000000" w:themeColor="text1"/>
          <w:sz w:val="23"/>
          <w:szCs w:val="23"/>
        </w:rPr>
      </w:pPr>
      <w:r w:rsidRPr="00DB06B0">
        <w:rPr>
          <w:rFonts w:ascii="Roboto" w:hAnsi="Roboto"/>
          <w:color w:val="000000" w:themeColor="text1"/>
          <w:sz w:val="23"/>
          <w:szCs w:val="23"/>
        </w:rPr>
        <w:t xml:space="preserve">In the 6th National Survey of Australian Secondary Students and Sexual Health almost </w:t>
      </w:r>
      <w:r w:rsidRPr="00DB06B0">
        <w:rPr>
          <w:rFonts w:ascii="Roboto" w:hAnsi="Roboto"/>
          <w:b/>
          <w:bCs/>
          <w:color w:val="000000" w:themeColor="text1"/>
          <w:sz w:val="23"/>
          <w:szCs w:val="23"/>
        </w:rPr>
        <w:t>one third of participants</w:t>
      </w:r>
      <w:r w:rsidRPr="00DB06B0">
        <w:rPr>
          <w:rFonts w:ascii="Roboto" w:hAnsi="Roboto"/>
          <w:color w:val="000000" w:themeColor="text1"/>
          <w:sz w:val="23"/>
          <w:szCs w:val="23"/>
        </w:rPr>
        <w:t xml:space="preserve"> had experienced an </w:t>
      </w:r>
      <w:r w:rsidRPr="00DB06B0">
        <w:rPr>
          <w:rFonts w:ascii="Roboto" w:hAnsi="Roboto"/>
          <w:b/>
          <w:bCs/>
          <w:color w:val="000000" w:themeColor="text1"/>
          <w:sz w:val="23"/>
          <w:szCs w:val="23"/>
        </w:rPr>
        <w:t>unwanted sexual event</w:t>
      </w:r>
      <w:r w:rsidRPr="00DB06B0">
        <w:rPr>
          <w:rFonts w:ascii="Roboto" w:hAnsi="Roboto"/>
          <w:color w:val="000000" w:themeColor="text1"/>
          <w:sz w:val="23"/>
          <w:szCs w:val="23"/>
        </w:rPr>
        <w:t xml:space="preserve"> in their lifetime. </w:t>
      </w:r>
    </w:p>
    <w:p w14:paraId="602D468E" w14:textId="77777777" w:rsidR="000D3341" w:rsidRPr="00DB06B0" w:rsidRDefault="000D3341" w:rsidP="000D3341">
      <w:pPr>
        <w:pStyle w:val="NoSpacing"/>
        <w:pBdr>
          <w:top w:val="dotted" w:sz="4" w:space="6" w:color="FFFFFF" w:themeColor="background1"/>
        </w:pBdr>
        <w:spacing w:before="60" w:after="60" w:line="276" w:lineRule="auto"/>
        <w:rPr>
          <w:rFonts w:ascii="Roboto" w:hAnsi="Roboto"/>
          <w:color w:val="000000" w:themeColor="text1"/>
          <w:sz w:val="23"/>
          <w:szCs w:val="23"/>
        </w:rPr>
      </w:pPr>
      <w:r w:rsidRPr="00DB06B0">
        <w:rPr>
          <w:rFonts w:ascii="Roboto" w:hAnsi="Roboto"/>
          <w:color w:val="000000" w:themeColor="text1"/>
          <w:sz w:val="23"/>
          <w:szCs w:val="23"/>
        </w:rPr>
        <w:t xml:space="preserve">Those more likely to report having had unwanted sex were </w:t>
      </w:r>
      <w:r w:rsidRPr="00DB06B0">
        <w:rPr>
          <w:rFonts w:ascii="Roboto" w:hAnsi="Roboto"/>
          <w:b/>
          <w:bCs/>
          <w:color w:val="000000" w:themeColor="text1"/>
          <w:sz w:val="23"/>
          <w:szCs w:val="23"/>
        </w:rPr>
        <w:t>female</w:t>
      </w:r>
      <w:r w:rsidRPr="00DB06B0">
        <w:rPr>
          <w:rFonts w:ascii="Roboto" w:hAnsi="Roboto"/>
          <w:color w:val="000000" w:themeColor="text1"/>
          <w:sz w:val="23"/>
          <w:szCs w:val="23"/>
        </w:rPr>
        <w:t xml:space="preserve">, </w:t>
      </w:r>
      <w:r w:rsidRPr="00DB06B0">
        <w:rPr>
          <w:rFonts w:ascii="Roboto" w:hAnsi="Roboto"/>
          <w:b/>
          <w:bCs/>
          <w:color w:val="000000" w:themeColor="text1"/>
          <w:sz w:val="23"/>
          <w:szCs w:val="23"/>
        </w:rPr>
        <w:t>trans and gender diverse</w:t>
      </w:r>
      <w:r w:rsidRPr="00DB06B0">
        <w:rPr>
          <w:rFonts w:ascii="Roboto" w:hAnsi="Roboto"/>
          <w:color w:val="000000" w:themeColor="text1"/>
          <w:sz w:val="23"/>
          <w:szCs w:val="23"/>
        </w:rPr>
        <w:t xml:space="preserve"> and </w:t>
      </w:r>
      <w:r w:rsidRPr="00DB06B0">
        <w:rPr>
          <w:rFonts w:ascii="Roboto" w:hAnsi="Roboto"/>
          <w:b/>
          <w:bCs/>
          <w:color w:val="000000" w:themeColor="text1"/>
          <w:sz w:val="23"/>
          <w:szCs w:val="23"/>
        </w:rPr>
        <w:t>non-heterosexual young people</w:t>
      </w:r>
      <w:r w:rsidRPr="00DB06B0">
        <w:rPr>
          <w:rFonts w:ascii="Roboto" w:hAnsi="Roboto"/>
          <w:color w:val="000000" w:themeColor="text1"/>
          <w:sz w:val="23"/>
          <w:szCs w:val="23"/>
        </w:rPr>
        <w:t>.</w:t>
      </w:r>
    </w:p>
    <w:p w14:paraId="43F89FD6" w14:textId="77777777" w:rsidR="000D3341" w:rsidRPr="00DB06B0" w:rsidRDefault="000D3341" w:rsidP="000D3341">
      <w:pPr>
        <w:pStyle w:val="NoSpacing"/>
        <w:pBdr>
          <w:top w:val="dotted" w:sz="4" w:space="6" w:color="FFFFFF" w:themeColor="background1"/>
        </w:pBdr>
        <w:spacing w:before="60" w:after="60" w:line="276" w:lineRule="auto"/>
        <w:rPr>
          <w:rFonts w:ascii="Roboto" w:hAnsi="Roboto"/>
          <w:color w:val="000000" w:themeColor="text1"/>
          <w:sz w:val="23"/>
          <w:szCs w:val="23"/>
        </w:rPr>
      </w:pPr>
      <w:r w:rsidRPr="00DB06B0">
        <w:rPr>
          <w:rFonts w:ascii="Roboto" w:hAnsi="Roboto"/>
          <w:color w:val="000000" w:themeColor="text1"/>
          <w:sz w:val="23"/>
          <w:szCs w:val="23"/>
        </w:rPr>
        <w:t xml:space="preserve">Experiences among </w:t>
      </w:r>
      <w:r w:rsidRPr="00DB06B0">
        <w:rPr>
          <w:rFonts w:ascii="Roboto" w:hAnsi="Roboto"/>
          <w:b/>
          <w:bCs/>
          <w:color w:val="000000" w:themeColor="text1"/>
          <w:sz w:val="23"/>
          <w:szCs w:val="23"/>
        </w:rPr>
        <w:t>Australian young people</w:t>
      </w:r>
      <w:r w:rsidRPr="00DB06B0">
        <w:rPr>
          <w:rFonts w:ascii="Roboto" w:hAnsi="Roboto"/>
          <w:color w:val="000000" w:themeColor="text1"/>
          <w:sz w:val="23"/>
          <w:szCs w:val="23"/>
        </w:rPr>
        <w:t>, 14-18 years old, have not yet been examined in depth.</w:t>
      </w:r>
    </w:p>
    <w:p w14:paraId="3BB463B3" w14:textId="10CF2BFC" w:rsidR="000D3341" w:rsidRPr="008E32EF" w:rsidRDefault="000D3341" w:rsidP="000D3341">
      <w:pPr>
        <w:pStyle w:val="LTU-Subhead2"/>
      </w:pPr>
      <w:r w:rsidRPr="000D3341">
        <w:t>What</w:t>
      </w:r>
      <w:r w:rsidRPr="008E32EF">
        <w:t xml:space="preserve"> works to prevent</w:t>
      </w:r>
      <w:r>
        <w:t xml:space="preserve"> </w:t>
      </w:r>
      <w:r w:rsidRPr="008E32EF">
        <w:t>sexual violence and harassment?</w:t>
      </w:r>
    </w:p>
    <w:p w14:paraId="118D7C1B" w14:textId="77777777" w:rsidR="000D3341" w:rsidRPr="00DB06B0" w:rsidRDefault="000D3341" w:rsidP="006F1C63">
      <w:pPr>
        <w:pStyle w:val="LTU-Bullets10pt"/>
      </w:pPr>
      <w:r w:rsidRPr="00DB06B0">
        <w:t>University based</w:t>
      </w:r>
      <w:r>
        <w:t xml:space="preserve"> </w:t>
      </w:r>
      <w:r w:rsidRPr="00DB06B0">
        <w:t>bystander program aimed at male students</w:t>
      </w:r>
    </w:p>
    <w:p w14:paraId="7BDEC669" w14:textId="77777777" w:rsidR="000D3341" w:rsidRPr="00DB06B0" w:rsidRDefault="000D3341" w:rsidP="006F1C63">
      <w:pPr>
        <w:pStyle w:val="LTU-Bullets10pt"/>
      </w:pPr>
      <w:r w:rsidRPr="00DB06B0">
        <w:t>University based-single sex women’s empowerment and resistance programs</w:t>
      </w:r>
    </w:p>
    <w:p w14:paraId="2C6EA999" w14:textId="77777777" w:rsidR="000D3341" w:rsidRPr="00DB06B0" w:rsidRDefault="000D3341" w:rsidP="006F1C63">
      <w:pPr>
        <w:pStyle w:val="LTU-Bullets10pt"/>
      </w:pPr>
      <w:r w:rsidRPr="00DB06B0">
        <w:t>Bystander approaches that enhance prosocial intervening behaviours, paired with other SVH education</w:t>
      </w:r>
    </w:p>
    <w:p w14:paraId="2C6D2B60" w14:textId="77777777" w:rsidR="000D3341" w:rsidRPr="00DB06B0" w:rsidRDefault="000D3341" w:rsidP="006F1C63">
      <w:pPr>
        <w:pStyle w:val="LTU-Bullets10pt"/>
      </w:pPr>
      <w:r w:rsidRPr="00DB06B0">
        <w:t>Challenging rape myths</w:t>
      </w:r>
    </w:p>
    <w:p w14:paraId="7325BEB7" w14:textId="77777777" w:rsidR="000D3341" w:rsidRPr="00DB06B0" w:rsidRDefault="000D3341" w:rsidP="006F1C63">
      <w:pPr>
        <w:pStyle w:val="LTU-Bullets10pt"/>
      </w:pPr>
      <w:r w:rsidRPr="00DB06B0">
        <w:t>Comprehensive, ‘whole of organisation’ interventions with multi sessions</w:t>
      </w:r>
    </w:p>
    <w:p w14:paraId="0A125F34" w14:textId="77777777" w:rsidR="000D3341" w:rsidRPr="00DB06B0" w:rsidRDefault="000D3341" w:rsidP="000D3341">
      <w:pPr>
        <w:pStyle w:val="NoSpacing"/>
        <w:pBdr>
          <w:top w:val="dotted" w:sz="4" w:space="6" w:color="FFFFFF" w:themeColor="background1"/>
        </w:pBdr>
        <w:spacing w:before="120" w:after="120" w:line="276" w:lineRule="auto"/>
        <w:rPr>
          <w:rFonts w:ascii="Roboto" w:hAnsi="Roboto"/>
          <w:color w:val="000000" w:themeColor="text1"/>
          <w:sz w:val="23"/>
          <w:szCs w:val="23"/>
        </w:rPr>
      </w:pPr>
      <w:r w:rsidRPr="00DB06B0">
        <w:rPr>
          <w:rFonts w:ascii="Roboto" w:hAnsi="Roboto"/>
          <w:color w:val="000000" w:themeColor="text1"/>
          <w:sz w:val="23"/>
          <w:szCs w:val="23"/>
        </w:rPr>
        <w:t xml:space="preserve">There is a </w:t>
      </w:r>
      <w:r w:rsidRPr="00DB06B0">
        <w:rPr>
          <w:rFonts w:ascii="Roboto" w:hAnsi="Roboto"/>
          <w:b/>
          <w:bCs/>
          <w:color w:val="000000" w:themeColor="text1"/>
          <w:sz w:val="23"/>
          <w:szCs w:val="23"/>
        </w:rPr>
        <w:t>significant lack of community or societal level interventions</w:t>
      </w:r>
      <w:r w:rsidRPr="00DB06B0">
        <w:rPr>
          <w:rFonts w:ascii="Roboto" w:hAnsi="Roboto"/>
          <w:color w:val="000000" w:themeColor="text1"/>
          <w:sz w:val="23"/>
          <w:szCs w:val="23"/>
        </w:rPr>
        <w:t xml:space="preserve">, such as whole of community mobilisation programs or government policy to prevent or </w:t>
      </w:r>
      <w:r>
        <w:rPr>
          <w:rFonts w:ascii="Roboto" w:hAnsi="Roboto"/>
          <w:color w:val="000000" w:themeColor="text1"/>
          <w:sz w:val="23"/>
          <w:szCs w:val="23"/>
        </w:rPr>
        <w:br/>
      </w:r>
      <w:r w:rsidRPr="00DB06B0">
        <w:rPr>
          <w:rFonts w:ascii="Roboto" w:hAnsi="Roboto"/>
          <w:color w:val="000000" w:themeColor="text1"/>
          <w:sz w:val="23"/>
          <w:szCs w:val="23"/>
        </w:rPr>
        <w:t>reduce SVH.</w:t>
      </w:r>
    </w:p>
    <w:p w14:paraId="7DDB16F1" w14:textId="77777777" w:rsidR="000D3341" w:rsidRPr="00DB06B0" w:rsidRDefault="000D3341" w:rsidP="000D3341">
      <w:pPr>
        <w:pStyle w:val="NoSpacing"/>
        <w:pBdr>
          <w:top w:val="dotted" w:sz="4" w:space="6" w:color="FFFFFF" w:themeColor="background1"/>
        </w:pBdr>
        <w:spacing w:before="120" w:after="120" w:line="276" w:lineRule="auto"/>
        <w:rPr>
          <w:rFonts w:ascii="Roboto" w:hAnsi="Roboto"/>
          <w:color w:val="000000" w:themeColor="text1"/>
          <w:sz w:val="23"/>
          <w:szCs w:val="23"/>
        </w:rPr>
      </w:pPr>
      <w:r w:rsidRPr="00DB06B0">
        <w:rPr>
          <w:rFonts w:ascii="Roboto" w:hAnsi="Roboto"/>
          <w:b/>
          <w:bCs/>
          <w:color w:val="000000" w:themeColor="text1"/>
          <w:sz w:val="23"/>
          <w:szCs w:val="23"/>
        </w:rPr>
        <w:t>Funding</w:t>
      </w:r>
      <w:r w:rsidRPr="00DB06B0">
        <w:rPr>
          <w:rFonts w:ascii="Roboto" w:hAnsi="Roboto"/>
          <w:color w:val="000000" w:themeColor="text1"/>
          <w:sz w:val="23"/>
          <w:szCs w:val="23"/>
        </w:rPr>
        <w:t xml:space="preserve"> and </w:t>
      </w:r>
      <w:r w:rsidRPr="00DB06B0">
        <w:rPr>
          <w:rFonts w:ascii="Roboto" w:hAnsi="Roboto"/>
          <w:b/>
          <w:bCs/>
          <w:color w:val="000000" w:themeColor="text1"/>
          <w:sz w:val="23"/>
          <w:szCs w:val="23"/>
        </w:rPr>
        <w:t>investment</w:t>
      </w:r>
      <w:r w:rsidRPr="00DB06B0">
        <w:rPr>
          <w:rFonts w:ascii="Roboto" w:hAnsi="Roboto"/>
          <w:color w:val="000000" w:themeColor="text1"/>
          <w:sz w:val="23"/>
          <w:szCs w:val="23"/>
        </w:rPr>
        <w:t xml:space="preserve"> in </w:t>
      </w:r>
      <w:r w:rsidRPr="00DB06B0">
        <w:rPr>
          <w:rFonts w:ascii="Roboto" w:hAnsi="Roboto"/>
          <w:b/>
          <w:bCs/>
          <w:color w:val="000000" w:themeColor="text1"/>
          <w:sz w:val="23"/>
          <w:szCs w:val="23"/>
        </w:rPr>
        <w:t>longitudinal evaluation studies</w:t>
      </w:r>
      <w:r w:rsidRPr="00DB06B0">
        <w:rPr>
          <w:rFonts w:ascii="Roboto" w:hAnsi="Roboto"/>
          <w:color w:val="000000" w:themeColor="text1"/>
          <w:sz w:val="23"/>
          <w:szCs w:val="23"/>
        </w:rPr>
        <w:t xml:space="preserve"> are needed in future to measure </w:t>
      </w:r>
      <w:r w:rsidRPr="00DB06B0">
        <w:rPr>
          <w:rFonts w:ascii="Roboto" w:hAnsi="Roboto"/>
          <w:b/>
          <w:bCs/>
          <w:color w:val="000000" w:themeColor="text1"/>
          <w:sz w:val="23"/>
          <w:szCs w:val="23"/>
        </w:rPr>
        <w:t>sustained prevention</w:t>
      </w:r>
      <w:r w:rsidRPr="00DB06B0">
        <w:rPr>
          <w:rFonts w:ascii="Roboto" w:hAnsi="Roboto"/>
          <w:color w:val="000000" w:themeColor="text1"/>
          <w:sz w:val="23"/>
          <w:szCs w:val="23"/>
        </w:rPr>
        <w:t xml:space="preserve"> and change.</w:t>
      </w:r>
    </w:p>
    <w:p w14:paraId="1AF24071" w14:textId="77777777" w:rsidR="000D3341" w:rsidRPr="000D3341" w:rsidRDefault="000D3341" w:rsidP="00292F96">
      <w:pPr>
        <w:pStyle w:val="Pullouts"/>
        <w:rPr>
          <w:caps/>
          <w:vertAlign w:val="superscript"/>
        </w:rPr>
      </w:pPr>
      <w:r w:rsidRPr="000D3341">
        <w:t xml:space="preserve">One in six Australian women over the age of 15 have </w:t>
      </w:r>
      <w:r w:rsidRPr="00292F96">
        <w:t>experienced</w:t>
      </w:r>
      <w:r w:rsidRPr="000D3341">
        <w:t xml:space="preserve"> physical and/or sexual violence by a current or previous partner</w:t>
      </w:r>
    </w:p>
    <w:p w14:paraId="06D4318D" w14:textId="77777777" w:rsidR="000D3341" w:rsidRPr="006478EE" w:rsidRDefault="000D3341" w:rsidP="000D3341">
      <w:pPr>
        <w:pStyle w:val="LTU-Body10pt"/>
      </w:pPr>
      <w:r w:rsidRPr="006478EE">
        <w:t>Common reason</w:t>
      </w:r>
      <w:r>
        <w:t>s</w:t>
      </w:r>
      <w:r w:rsidRPr="006478EE">
        <w:t xml:space="preserve"> why students engaged in unwanted sex:</w:t>
      </w:r>
    </w:p>
    <w:p w14:paraId="157D994F" w14:textId="77777777" w:rsidR="000D3341" w:rsidRPr="000D3341" w:rsidRDefault="000D3341" w:rsidP="003A76AD">
      <w:pPr>
        <w:pStyle w:val="LTU-Body10pt"/>
        <w:spacing w:after="0"/>
        <w:rPr>
          <w:i/>
          <w:iCs/>
        </w:rPr>
      </w:pPr>
      <w:r w:rsidRPr="000D3341">
        <w:rPr>
          <w:i/>
          <w:iCs/>
        </w:rPr>
        <w:t>“My partner thought I should”</w:t>
      </w:r>
    </w:p>
    <w:p w14:paraId="0E6F3030" w14:textId="77777777" w:rsidR="000D3341" w:rsidRPr="000D3341" w:rsidRDefault="000D3341" w:rsidP="003A76AD">
      <w:pPr>
        <w:pStyle w:val="LTU-Body10pt"/>
        <w:spacing w:after="0"/>
        <w:rPr>
          <w:i/>
          <w:iCs/>
        </w:rPr>
      </w:pPr>
      <w:r w:rsidRPr="000D3341">
        <w:rPr>
          <w:i/>
          <w:iCs/>
        </w:rPr>
        <w:t>“I was too drunk at the time”</w:t>
      </w:r>
    </w:p>
    <w:p w14:paraId="7EB50701" w14:textId="2FD96924" w:rsidR="00FC14C2" w:rsidRDefault="000D3341" w:rsidP="003A76AD">
      <w:pPr>
        <w:pStyle w:val="LTU-Body10pt"/>
        <w:spacing w:after="0"/>
        <w:rPr>
          <w:i/>
          <w:iCs/>
        </w:rPr>
      </w:pPr>
      <w:r w:rsidRPr="000D3341">
        <w:rPr>
          <w:i/>
          <w:iCs/>
        </w:rPr>
        <w:t>“I was frightened”</w:t>
      </w:r>
    </w:p>
    <w:p w14:paraId="00BF39C2" w14:textId="77777777" w:rsidR="003A76AD" w:rsidRDefault="003A76AD">
      <w:pPr>
        <w:spacing w:after="0" w:line="240" w:lineRule="auto"/>
        <w:rPr>
          <w:rFonts w:cs="Brioni Std Medium"/>
          <w:b/>
          <w:color w:val="696766"/>
          <w:sz w:val="26"/>
          <w:szCs w:val="23"/>
          <w:lang w:val="en-GB"/>
        </w:rPr>
      </w:pPr>
      <w:r>
        <w:br w:type="page"/>
      </w:r>
    </w:p>
    <w:p w14:paraId="4A716AD0" w14:textId="7B5B830B" w:rsidR="000D3341" w:rsidRDefault="000D3341" w:rsidP="000D3341">
      <w:pPr>
        <w:pStyle w:val="LTU-Subhead2"/>
      </w:pPr>
      <w:r w:rsidRPr="008E32EF">
        <w:lastRenderedPageBreak/>
        <w:t>Monitoring sexual violence and harassment</w:t>
      </w:r>
    </w:p>
    <w:p w14:paraId="65F63024" w14:textId="77777777" w:rsidR="000D3341" w:rsidRPr="000D3341" w:rsidRDefault="000D3341" w:rsidP="000D3341">
      <w:pPr>
        <w:pStyle w:val="LTU-Body10pt"/>
      </w:pPr>
      <w:r w:rsidRPr="000D3341">
        <w:t>The goal of SVH primary prevention is to reduce the levels of SVH behaviours in the community. Beyond this, primary prevention can target factors that influence SVH behaviours. These factors can include underlying drivers that initiate these behaviours and reinforcing factors that perpetuate them.</w:t>
      </w:r>
    </w:p>
    <w:p w14:paraId="30A1D3EF" w14:textId="77777777" w:rsidR="000D3341" w:rsidRPr="000D3341" w:rsidRDefault="000D3341" w:rsidP="000D3341">
      <w:pPr>
        <w:pStyle w:val="LTU-Body10pt"/>
      </w:pPr>
      <w:r w:rsidRPr="000D3341">
        <w:t>Monitoring of SVH prevention strategies through national surveys is preferred.</w:t>
      </w:r>
    </w:p>
    <w:p w14:paraId="4B4C3F28" w14:textId="77777777" w:rsidR="000D3341" w:rsidRPr="000D3341" w:rsidRDefault="000D3341" w:rsidP="000D3341">
      <w:pPr>
        <w:pStyle w:val="LTU-Body10pt"/>
      </w:pPr>
      <w:r w:rsidRPr="000D3341">
        <w:t>The National Community Attitudes towards Violence against Women Survey (NCAS), Personal Safety Survey (PSS) and Australian Longitudinal Study on Women's Health (ALSWH) were identified as most effective in monitoring SVH.</w:t>
      </w:r>
    </w:p>
    <w:p w14:paraId="471FB85F" w14:textId="77777777" w:rsidR="000D3341" w:rsidRPr="000D3341" w:rsidRDefault="000D3341" w:rsidP="000D3341">
      <w:pPr>
        <w:pStyle w:val="LTU-Body10pt"/>
      </w:pPr>
      <w:r w:rsidRPr="000D3341">
        <w:t>Suggest implementing the ABS framework for optimising data collection and reporting for SVH.</w:t>
      </w:r>
    </w:p>
    <w:p w14:paraId="53F537C9" w14:textId="066ABF83" w:rsidR="000D3341" w:rsidRPr="00483B39" w:rsidRDefault="000D3341" w:rsidP="000D3341">
      <w:pPr>
        <w:pStyle w:val="LTU-Subhead2"/>
      </w:pPr>
      <w:r w:rsidRPr="00483B39">
        <w:t>Gaps</w:t>
      </w:r>
    </w:p>
    <w:p w14:paraId="1E3BFEF6" w14:textId="77777777" w:rsidR="000D3341" w:rsidRPr="00483B39" w:rsidRDefault="000D3341" w:rsidP="000D3341">
      <w:pPr>
        <w:rPr>
          <w:rFonts w:ascii="Roboto" w:hAnsi="Roboto"/>
          <w:b/>
          <w:bCs/>
          <w:color w:val="000000" w:themeColor="text1"/>
          <w:sz w:val="24"/>
          <w:szCs w:val="24"/>
        </w:rPr>
      </w:pPr>
      <w:r w:rsidRPr="00483B39">
        <w:rPr>
          <w:rFonts w:ascii="Roboto" w:hAnsi="Roboto"/>
          <w:b/>
          <w:bCs/>
          <w:color w:val="000000" w:themeColor="text1"/>
          <w:sz w:val="24"/>
          <w:szCs w:val="24"/>
        </w:rPr>
        <w:t>The following items are missing from the global evidence on the primary prevention of SVH:</w:t>
      </w:r>
    </w:p>
    <w:p w14:paraId="00675AAE" w14:textId="77777777" w:rsidR="000D3341" w:rsidRPr="000D3341" w:rsidRDefault="000D3341" w:rsidP="003A76AD">
      <w:pPr>
        <w:pStyle w:val="LTU-Bullets0pt"/>
      </w:pPr>
      <w:r w:rsidRPr="000D3341">
        <w:rPr>
          <w:rFonts w:eastAsia="Roboto"/>
        </w:rPr>
        <w:t>Australian evaluations of primary prevention interventions</w:t>
      </w:r>
    </w:p>
    <w:p w14:paraId="6A86935E" w14:textId="77777777" w:rsidR="000D3341" w:rsidRPr="000D3341" w:rsidRDefault="000D3341" w:rsidP="003A76AD">
      <w:pPr>
        <w:pStyle w:val="LTU-Bullets0pt"/>
      </w:pPr>
      <w:r w:rsidRPr="000D3341">
        <w:rPr>
          <w:rFonts w:eastAsia="Roboto"/>
        </w:rPr>
        <w:t>Process evaluations to understand why programs succeed or fail</w:t>
      </w:r>
    </w:p>
    <w:p w14:paraId="3BB3784B" w14:textId="77777777" w:rsidR="000D3341" w:rsidRPr="000D3341" w:rsidRDefault="000D3341" w:rsidP="003A76AD">
      <w:pPr>
        <w:pStyle w:val="LTU-Bullets0pt"/>
      </w:pPr>
      <w:r w:rsidRPr="000D3341">
        <w:rPr>
          <w:rFonts w:eastAsia="Roboto"/>
        </w:rPr>
        <w:t>Community and society level interventions</w:t>
      </w:r>
    </w:p>
    <w:p w14:paraId="700296FE" w14:textId="77777777" w:rsidR="000D3341" w:rsidRPr="000D3341" w:rsidRDefault="000D3341" w:rsidP="003A76AD">
      <w:pPr>
        <w:pStyle w:val="LTU-Bullets0pt"/>
      </w:pPr>
      <w:r w:rsidRPr="000D3341">
        <w:rPr>
          <w:rFonts w:eastAsia="Roboto"/>
        </w:rPr>
        <w:t>Interventions for specific populations at highest risk —elderly, migrant and refugee population, LGBTIQ communities, Aboriginal and Torres Strait Islander women and girls, women and girls with disabilities, rural and remote women and girls</w:t>
      </w:r>
    </w:p>
    <w:p w14:paraId="39B2EB23" w14:textId="77777777" w:rsidR="000D3341" w:rsidRPr="000D3341" w:rsidRDefault="000D3341" w:rsidP="003A76AD">
      <w:pPr>
        <w:pStyle w:val="LTU-Bullets0pt"/>
      </w:pPr>
      <w:r w:rsidRPr="000D3341">
        <w:rPr>
          <w:rFonts w:eastAsia="Roboto"/>
        </w:rPr>
        <w:t>Behaviour change measurement rather than knowledge and beliefs</w:t>
      </w:r>
    </w:p>
    <w:p w14:paraId="6FCBD7AB" w14:textId="77777777" w:rsidR="000D3341" w:rsidRPr="000D3341" w:rsidRDefault="000D3341" w:rsidP="003A76AD">
      <w:pPr>
        <w:pStyle w:val="LTU-Bullets0pt"/>
      </w:pPr>
      <w:r w:rsidRPr="000D3341">
        <w:rPr>
          <w:rFonts w:eastAsia="Roboto"/>
        </w:rPr>
        <w:t>Perpetrator interventions aimed at adult males</w:t>
      </w:r>
    </w:p>
    <w:p w14:paraId="3AEC8FFD" w14:textId="77777777" w:rsidR="000D3341" w:rsidRPr="000D3341" w:rsidRDefault="000D3341" w:rsidP="003A76AD">
      <w:pPr>
        <w:pStyle w:val="LTU-Bullets0pt"/>
      </w:pPr>
      <w:r w:rsidRPr="000D3341">
        <w:rPr>
          <w:rFonts w:eastAsia="Roboto"/>
        </w:rPr>
        <w:t>Evidence on sexual harassment, especially outside the workplace setting</w:t>
      </w:r>
    </w:p>
    <w:p w14:paraId="42CFE647" w14:textId="1BC82CA7" w:rsidR="003A76AD" w:rsidRPr="00483B39" w:rsidRDefault="003A76AD" w:rsidP="003A76AD">
      <w:pPr>
        <w:pStyle w:val="LTU-Subhead2"/>
      </w:pPr>
      <w:r w:rsidRPr="003A76AD">
        <w:t>Recommendations</w:t>
      </w:r>
    </w:p>
    <w:p w14:paraId="6E7B5E63" w14:textId="77777777" w:rsidR="003A76AD" w:rsidRPr="003A76AD" w:rsidRDefault="003A76AD" w:rsidP="003A76AD">
      <w:pPr>
        <w:pStyle w:val="LTU-Bullets0pt"/>
      </w:pPr>
      <w:r w:rsidRPr="003A76AD">
        <w:rPr>
          <w:rFonts w:eastAsia="Roboto"/>
        </w:rPr>
        <w:t>Effective programs</w:t>
      </w:r>
    </w:p>
    <w:p w14:paraId="2949B939" w14:textId="77777777" w:rsidR="003A76AD" w:rsidRPr="003A76AD" w:rsidRDefault="003A76AD" w:rsidP="003A76AD">
      <w:pPr>
        <w:pStyle w:val="LTU-Bullets0pt"/>
      </w:pPr>
      <w:r w:rsidRPr="003A76AD">
        <w:rPr>
          <w:rFonts w:eastAsia="Roboto"/>
        </w:rPr>
        <w:t>Earlier engagment</w:t>
      </w:r>
    </w:p>
    <w:p w14:paraId="223BB602" w14:textId="77777777" w:rsidR="003A76AD" w:rsidRPr="003A76AD" w:rsidRDefault="003A76AD" w:rsidP="003A76AD">
      <w:pPr>
        <w:pStyle w:val="LTU-Bullets0pt"/>
      </w:pPr>
      <w:r w:rsidRPr="003A76AD">
        <w:rPr>
          <w:rFonts w:eastAsia="Roboto"/>
        </w:rPr>
        <w:t>Explore sexual harassment</w:t>
      </w:r>
    </w:p>
    <w:p w14:paraId="46890FB7" w14:textId="77777777" w:rsidR="003A76AD" w:rsidRPr="003A76AD" w:rsidRDefault="003A76AD" w:rsidP="003A76AD">
      <w:pPr>
        <w:pStyle w:val="LTU-Bullets0pt"/>
      </w:pPr>
      <w:r w:rsidRPr="003A76AD">
        <w:rPr>
          <w:rFonts w:eastAsia="Roboto"/>
        </w:rPr>
        <w:t>Improve monitoring</w:t>
      </w:r>
    </w:p>
    <w:p w14:paraId="03534A8F" w14:textId="77777777" w:rsidR="003A76AD" w:rsidRPr="003A76AD" w:rsidRDefault="003A76AD" w:rsidP="003A76AD">
      <w:pPr>
        <w:pStyle w:val="LTU-Bullets0pt"/>
      </w:pPr>
      <w:r w:rsidRPr="003A76AD">
        <w:rPr>
          <w:rFonts w:eastAsia="Roboto"/>
        </w:rPr>
        <w:t>Further research</w:t>
      </w:r>
    </w:p>
    <w:p w14:paraId="68784F01" w14:textId="77777777" w:rsidR="000D3341" w:rsidRPr="000D3341" w:rsidRDefault="000D3341" w:rsidP="000D3341">
      <w:pPr>
        <w:pStyle w:val="LTU-Body10pt"/>
        <w:rPr>
          <w:lang w:val="en-GB"/>
        </w:rPr>
      </w:pPr>
    </w:p>
    <w:p w14:paraId="3B0AC67B" w14:textId="77777777" w:rsidR="00EA5A97" w:rsidRDefault="00EA5A97">
      <w:pPr>
        <w:spacing w:after="0" w:line="240" w:lineRule="auto"/>
        <w:rPr>
          <w:rFonts w:cs="Arial"/>
          <w:b/>
          <w:caps/>
          <w:sz w:val="32"/>
          <w:szCs w:val="25"/>
          <w:lang w:val="en-GB"/>
        </w:rPr>
      </w:pPr>
      <w:bookmarkStart w:id="42" w:name="_Toc67035842"/>
      <w:bookmarkEnd w:id="40"/>
      <w:r>
        <w:br w:type="page"/>
      </w:r>
    </w:p>
    <w:p w14:paraId="219928C6" w14:textId="120A9535" w:rsidR="001130B7" w:rsidRPr="001130B7" w:rsidRDefault="40B17CA0" w:rsidP="003E5897">
      <w:pPr>
        <w:pStyle w:val="LTU-Subhead1"/>
        <w:rPr>
          <w:rFonts w:ascii="Roboto" w:hAnsi="Roboto"/>
        </w:rPr>
      </w:pPr>
      <w:r>
        <w:lastRenderedPageBreak/>
        <w:t>Key Findings</w:t>
      </w:r>
      <w:r w:rsidR="008836A9">
        <w:t xml:space="preserve"> </w:t>
      </w:r>
      <w:r w:rsidR="0030640D">
        <w:t xml:space="preserve">– </w:t>
      </w:r>
      <w:r>
        <w:t>Sector and Expert Consultation</w:t>
      </w:r>
      <w:bookmarkEnd w:id="42"/>
    </w:p>
    <w:p w14:paraId="0EB08818" w14:textId="3277701F" w:rsidR="001130B7" w:rsidRPr="001130B7" w:rsidRDefault="001130B7" w:rsidP="00BB3F3C">
      <w:pPr>
        <w:pStyle w:val="LTU-Subhead2"/>
      </w:pPr>
      <w:r w:rsidRPr="00BB3F3C">
        <w:t>Education</w:t>
      </w:r>
    </w:p>
    <w:p w14:paraId="526C4549" w14:textId="0C5E8170" w:rsidR="00FB4032" w:rsidRPr="006A192A" w:rsidRDefault="006370B3" w:rsidP="00FB4032">
      <w:pPr>
        <w:pStyle w:val="LTU-Body10pt"/>
      </w:pPr>
      <w:r>
        <w:t>Based on</w:t>
      </w:r>
      <w:r w:rsidR="00FB4032" w:rsidRPr="006A192A">
        <w:t xml:space="preserve"> the Advisory Group</w:t>
      </w:r>
      <w:r w:rsidR="00C77D4E">
        <w:t xml:space="preserve"> input</w:t>
      </w:r>
      <w:r w:rsidR="00FB4032" w:rsidRPr="006A192A">
        <w:t xml:space="preserve">, sector survey and workshop consultations, it is </w:t>
      </w:r>
      <w:r w:rsidR="00593739">
        <w:t>evident</w:t>
      </w:r>
      <w:r w:rsidR="00FB4032" w:rsidRPr="006A192A">
        <w:t xml:space="preserve"> that education is a key priority for the </w:t>
      </w:r>
      <w:r w:rsidR="00FB4032" w:rsidRPr="00C65323">
        <w:t>primary prevention of SVH. There was agreement that education</w:t>
      </w:r>
      <w:r w:rsidR="005430A7" w:rsidRPr="00C65323">
        <w:t xml:space="preserve"> about SVH</w:t>
      </w:r>
      <w:r w:rsidR="00FB4032" w:rsidRPr="00C65323">
        <w:t xml:space="preserve"> needed</w:t>
      </w:r>
      <w:r w:rsidR="00FB4032" w:rsidRPr="006A192A">
        <w:t xml:space="preserve"> to start early with parents</w:t>
      </w:r>
      <w:r w:rsidR="005430A7">
        <w:t>/caregivers and their</w:t>
      </w:r>
      <w:r w:rsidR="00C65323">
        <w:t xml:space="preserve"> primary school</w:t>
      </w:r>
      <w:r w:rsidR="005430A7">
        <w:t xml:space="preserve"> children</w:t>
      </w:r>
      <w:r w:rsidR="03CE1FD8">
        <w:t>,</w:t>
      </w:r>
      <w:r w:rsidR="00FB4032" w:rsidRPr="006A192A">
        <w:t xml:space="preserve"> and that</w:t>
      </w:r>
      <w:r w:rsidR="004D7C31">
        <w:t xml:space="preserve"> education should then be consistently delivered across the student journey</w:t>
      </w:r>
      <w:r w:rsidR="00FB4032" w:rsidRPr="006A192A">
        <w:t>. Such education would need to have a level of national standardisation</w:t>
      </w:r>
      <w:r w:rsidR="74D9B316">
        <w:t>,</w:t>
      </w:r>
      <w:r w:rsidR="00FB4032" w:rsidRPr="006A192A">
        <w:t xml:space="preserve"> while also being adaptable to specific needs</w:t>
      </w:r>
      <w:r w:rsidR="000223F3">
        <w:t xml:space="preserve"> and diverse communities with intersections acknowledged</w:t>
      </w:r>
      <w:r w:rsidR="00FB4032" w:rsidRPr="006A192A">
        <w:t xml:space="preserve">. There was also agreement that education should focus on age-appropriate positive messaging, not just looking at negative outcomes such as sexual assault. </w:t>
      </w:r>
      <w:r w:rsidR="0030640D">
        <w:t xml:space="preserve">The </w:t>
      </w:r>
      <w:r w:rsidR="00FB4032" w:rsidRPr="006A192A">
        <w:t xml:space="preserve">need for </w:t>
      </w:r>
      <w:r w:rsidR="6B519403">
        <w:t xml:space="preserve">an understanding of </w:t>
      </w:r>
      <w:r w:rsidR="00FB4032" w:rsidRPr="006A192A">
        <w:t>affirmative consent</w:t>
      </w:r>
      <w:r w:rsidR="0030640D">
        <w:t xml:space="preserve"> was also emphasised.</w:t>
      </w:r>
    </w:p>
    <w:p w14:paraId="5E3FB77E" w14:textId="25EA132B" w:rsidR="00F40D20" w:rsidRDefault="00F40D20" w:rsidP="00F40D20">
      <w:pPr>
        <w:pStyle w:val="LTU-Body10pt"/>
      </w:pPr>
      <w:r>
        <w:t>While students are a key priority, education should not end after school or tertiary education, particularly because not everyone completes tertiary education. There need to be diverse ways of continuing education after school (</w:t>
      </w:r>
      <w:r w:rsidR="00E8386F">
        <w:t>e.g.,</w:t>
      </w:r>
      <w:r>
        <w:t xml:space="preserve"> workplace). Across settings, a </w:t>
      </w:r>
      <w:r w:rsidR="00084536">
        <w:t>life-</w:t>
      </w:r>
      <w:r>
        <w:t>course, whole-of-system approach was favoured alongside funding for a suite of interventions that went beyond just awareness-raising. Here schools would have a supportive structural base for teachers to deliver this education, such as informed leadership, space for this work, methods of engagement with parents</w:t>
      </w:r>
      <w:r w:rsidR="00C6381F">
        <w:t xml:space="preserve"> and caregivers</w:t>
      </w:r>
      <w:r>
        <w:t xml:space="preserve">, ample resources and practice guidelines, practice champions and supportive referral staff </w:t>
      </w:r>
      <w:r w:rsidR="00394ED9">
        <w:t xml:space="preserve">such as </w:t>
      </w:r>
      <w:r>
        <w:t xml:space="preserve">school nurses. </w:t>
      </w:r>
    </w:p>
    <w:p w14:paraId="5767F040" w14:textId="4F7B4EAF" w:rsidR="001130B7" w:rsidRPr="001130B7" w:rsidRDefault="001130B7" w:rsidP="00BB3F3C">
      <w:pPr>
        <w:pStyle w:val="LTU-Subhead3"/>
      </w:pPr>
      <w:r w:rsidRPr="001130B7">
        <w:t>Pornography</w:t>
      </w:r>
    </w:p>
    <w:p w14:paraId="1DB392D1" w14:textId="18D9614D" w:rsidR="00FB4032" w:rsidRDefault="00FB4032" w:rsidP="00FB4032">
      <w:pPr>
        <w:pStyle w:val="LTU-Body10pt"/>
      </w:pPr>
      <w:r w:rsidRPr="006A192A">
        <w:t xml:space="preserve">A topic </w:t>
      </w:r>
      <w:r w:rsidR="00D845ED">
        <w:t>of concern</w:t>
      </w:r>
      <w:r>
        <w:t xml:space="preserve"> </w:t>
      </w:r>
      <w:r w:rsidR="00394ED9">
        <w:t xml:space="preserve">that </w:t>
      </w:r>
      <w:r>
        <w:t>frequently</w:t>
      </w:r>
      <w:r w:rsidRPr="006A192A">
        <w:t xml:space="preserve"> emerged across the workshops and in the Advisory Group was pornography, including access to pornography and educating people on pornography. Participants raised concern </w:t>
      </w:r>
      <w:r w:rsidR="00394ED9">
        <w:t>about</w:t>
      </w:r>
      <w:r w:rsidR="00394ED9" w:rsidRPr="006A192A">
        <w:t xml:space="preserve"> </w:t>
      </w:r>
      <w:r w:rsidRPr="006A192A">
        <w:t>young people using pornography for their sex education and the lack of education around critical media engagement, including pornography. Such concern extended beyond just students who consume pornography</w:t>
      </w:r>
      <w:r>
        <w:t>,</w:t>
      </w:r>
      <w:r w:rsidRPr="006A192A">
        <w:t xml:space="preserve"> but </w:t>
      </w:r>
      <w:r>
        <w:t xml:space="preserve">also </w:t>
      </w:r>
      <w:r w:rsidRPr="006A192A">
        <w:t>across society. There was general agreement that education on engaging with media critically, including pornography, was the best approach. This education would need to target young people and adults who consume pornography</w:t>
      </w:r>
      <w:r w:rsidR="004415F5">
        <w:t>,</w:t>
      </w:r>
      <w:r w:rsidRPr="006A192A">
        <w:t xml:space="preserve"> as well as </w:t>
      </w:r>
      <w:r w:rsidR="00394ED9">
        <w:t xml:space="preserve">to </w:t>
      </w:r>
      <w:r w:rsidRPr="006A192A">
        <w:t xml:space="preserve">reduce stigma for those who work in the sex industry. An intersecting issue is technology-facilitated abuse, including image-based sexual abuse (the non-consensual taking or sharing of intimate images), and the need for primary prevention to address this issue, both to stop perpetration and victimisation.    </w:t>
      </w:r>
    </w:p>
    <w:p w14:paraId="64098902" w14:textId="4B8EECF5" w:rsidR="00BB3F3C" w:rsidRDefault="00BB3F3C" w:rsidP="002245B8">
      <w:pPr>
        <w:pStyle w:val="Pullouts"/>
      </w:pPr>
      <w:r>
        <w:lastRenderedPageBreak/>
        <w:t xml:space="preserve">“Primary prevention includes saturation of messaging across all settings, ongoing education beyond schools including in universities, police, legal systems as well as for teachers etc.” </w:t>
      </w:r>
    </w:p>
    <w:p w14:paraId="69670968" w14:textId="45255BD4" w:rsidR="00BB3F3C" w:rsidRPr="00063F90" w:rsidRDefault="00BB3F3C" w:rsidP="002245B8">
      <w:pPr>
        <w:pStyle w:val="Pullouts"/>
        <w:jc w:val="right"/>
      </w:pPr>
      <w:r>
        <w:t>--</w:t>
      </w:r>
      <w:r w:rsidRPr="00BB3F3C">
        <w:t>Survey respondent</w:t>
      </w:r>
    </w:p>
    <w:p w14:paraId="70ABF363" w14:textId="77777777" w:rsidR="00BB3F3C" w:rsidRDefault="00BB3F3C" w:rsidP="00BB3F3C">
      <w:pPr>
        <w:pStyle w:val="LTU-Subhead3"/>
      </w:pPr>
    </w:p>
    <w:p w14:paraId="0D14286E" w14:textId="4AF33E5B" w:rsidR="00FB4032" w:rsidRPr="006A192A" w:rsidRDefault="00394ED9" w:rsidP="00BB3F3C">
      <w:pPr>
        <w:pStyle w:val="LTU-Subhead3"/>
      </w:pPr>
      <w:r w:rsidRPr="006A192A">
        <w:t>Community</w:t>
      </w:r>
      <w:r>
        <w:t>-</w:t>
      </w:r>
      <w:r w:rsidR="00FB4032" w:rsidRPr="006A192A">
        <w:t>Level Interventions</w:t>
      </w:r>
    </w:p>
    <w:p w14:paraId="595FC8E5" w14:textId="7DA77583" w:rsidR="00FB4032" w:rsidRPr="006A192A" w:rsidRDefault="00FB4032" w:rsidP="00FB4032">
      <w:pPr>
        <w:pStyle w:val="LTU-Body10pt"/>
      </w:pPr>
      <w:r w:rsidRPr="006A192A">
        <w:t xml:space="preserve">Participants discussed a variety of interventions that we have loosely categorised as community. We use the term </w:t>
      </w:r>
      <w:r w:rsidR="00084536">
        <w:t>‘</w:t>
      </w:r>
      <w:r w:rsidRPr="006A192A">
        <w:t>community</w:t>
      </w:r>
      <w:r w:rsidR="00084536">
        <w:t>’</w:t>
      </w:r>
      <w:r w:rsidRPr="006A192A">
        <w:t xml:space="preserve"> as broadly as possible. Such interventions were also considered viable if they worked across various settings, such as public transport, workplaces and sporting organisations</w:t>
      </w:r>
      <w:r w:rsidR="001B33F7">
        <w:t>; i</w:t>
      </w:r>
      <w:r w:rsidRPr="006A192A">
        <w:t xml:space="preserve">n short, a whole-of-community response. Such responses would also intersect with the </w:t>
      </w:r>
      <w:r w:rsidR="00084536" w:rsidRPr="006A192A">
        <w:t>life</w:t>
      </w:r>
      <w:r w:rsidR="00084536">
        <w:t>-</w:t>
      </w:r>
      <w:r w:rsidRPr="006A192A">
        <w:t xml:space="preserve">course approach to education. </w:t>
      </w:r>
    </w:p>
    <w:p w14:paraId="4AAAD73A" w14:textId="77777777" w:rsidR="00FB4032" w:rsidRPr="006A192A" w:rsidRDefault="00FB4032" w:rsidP="00BB3F3C">
      <w:pPr>
        <w:pStyle w:val="LTU-Subhead3"/>
      </w:pPr>
      <w:r w:rsidRPr="006A192A">
        <w:t xml:space="preserve">Settings </w:t>
      </w:r>
    </w:p>
    <w:p w14:paraId="170FA457" w14:textId="6D361D4E" w:rsidR="00FB4032" w:rsidRPr="006A192A" w:rsidRDefault="00FB4032" w:rsidP="00FB4032">
      <w:pPr>
        <w:pStyle w:val="LTU-Body10pt"/>
      </w:pPr>
      <w:r w:rsidRPr="006A192A">
        <w:t xml:space="preserve">Participants outlined some priority settings across all the workshops. </w:t>
      </w:r>
      <w:r w:rsidR="00D77EDD">
        <w:t xml:space="preserve">For example, participants across all workshops </w:t>
      </w:r>
      <w:r w:rsidR="00C77D4E">
        <w:t xml:space="preserve">considered </w:t>
      </w:r>
      <w:r w:rsidR="00D77EDD">
        <w:t xml:space="preserve">the legal sector and legal system as a priority setting. </w:t>
      </w:r>
      <w:r w:rsidRPr="006A192A">
        <w:t xml:space="preserve">Much of the discussion </w:t>
      </w:r>
      <w:r w:rsidR="0AF8833B">
        <w:t>centre</w:t>
      </w:r>
      <w:r w:rsidR="508D9B3C">
        <w:t>d</w:t>
      </w:r>
      <w:r w:rsidRPr="006A192A">
        <w:t xml:space="preserve"> </w:t>
      </w:r>
      <w:r w:rsidR="00084536">
        <w:t>on</w:t>
      </w:r>
      <w:r w:rsidR="00084536" w:rsidRPr="006A192A">
        <w:t xml:space="preserve"> </w:t>
      </w:r>
      <w:r w:rsidRPr="006A192A">
        <w:t xml:space="preserve">response rather than primary prevention. However, participants generally </w:t>
      </w:r>
      <w:r w:rsidR="00D845ED">
        <w:t>linked</w:t>
      </w:r>
      <w:r w:rsidRPr="006A192A">
        <w:t xml:space="preserve"> primary prevention with secondary and tertiary </w:t>
      </w:r>
      <w:r w:rsidR="4933E318">
        <w:t>response</w:t>
      </w:r>
      <w:r w:rsidR="541E0530">
        <w:t>s</w:t>
      </w:r>
      <w:r w:rsidRPr="006A192A">
        <w:t>, noting that they are difficult to separate</w:t>
      </w:r>
      <w:r w:rsidR="00AE6AD4">
        <w:t>,</w:t>
      </w:r>
      <w:r w:rsidRPr="006A192A">
        <w:t xml:space="preserve"> should work in collaboration</w:t>
      </w:r>
      <w:r w:rsidR="00C827ED">
        <w:t xml:space="preserve"> and that </w:t>
      </w:r>
      <w:r w:rsidR="18582F35">
        <w:t>organisations</w:t>
      </w:r>
      <w:r w:rsidR="00C827ED">
        <w:t xml:space="preserve"> often worked across all three</w:t>
      </w:r>
      <w:r w:rsidRPr="006A192A">
        <w:t xml:space="preserve">. Participants also acknowledged that while changing the law or other issues might not be primary prevention, without societal acknowledgement of the harms of SVH, primary prevention </w:t>
      </w:r>
      <w:r w:rsidR="00D845ED">
        <w:t>would</w:t>
      </w:r>
      <w:r w:rsidRPr="006A192A">
        <w:t xml:space="preserve"> be difficult. </w:t>
      </w:r>
    </w:p>
    <w:p w14:paraId="4E205008" w14:textId="1078094E" w:rsidR="00FB4032" w:rsidRPr="006A192A" w:rsidRDefault="00C827ED" w:rsidP="00FB4032">
      <w:pPr>
        <w:pStyle w:val="LTU-Body10pt"/>
      </w:pPr>
      <w:r>
        <w:t>As such, p</w:t>
      </w:r>
      <w:r w:rsidR="00FB4032" w:rsidRPr="006A192A">
        <w:t xml:space="preserve">articipants argued for a need to change laws that diminished </w:t>
      </w:r>
      <w:r w:rsidR="000A6DF2">
        <w:t>victim</w:t>
      </w:r>
      <w:r w:rsidR="0026523A">
        <w:t>–</w:t>
      </w:r>
      <w:r w:rsidR="00FB4032" w:rsidRPr="006A192A">
        <w:t xml:space="preserve">survivors and </w:t>
      </w:r>
      <w:r w:rsidR="7A5E1595">
        <w:t xml:space="preserve">to </w:t>
      </w:r>
      <w:r w:rsidR="00FB4032" w:rsidRPr="006A192A">
        <w:t xml:space="preserve">overhaul the processes that </w:t>
      </w:r>
      <w:r w:rsidR="000A6DF2">
        <w:t>victim</w:t>
      </w:r>
      <w:r w:rsidR="0026523A">
        <w:t>–</w:t>
      </w:r>
      <w:r w:rsidR="00FB4032" w:rsidRPr="006A192A">
        <w:t xml:space="preserve">survivors endure in the courts. The lack of accountability faced by perpetrators was also a concern. </w:t>
      </w:r>
      <w:r w:rsidR="001D29A0">
        <w:t xml:space="preserve">With regard to the broader criminal justice system, </w:t>
      </w:r>
      <w:r w:rsidR="4631F6AC">
        <w:t xml:space="preserve">participants identified </w:t>
      </w:r>
      <w:r w:rsidR="001D29A0">
        <w:t xml:space="preserve">changes to </w:t>
      </w:r>
      <w:r w:rsidR="25DCEC10">
        <w:t>policing</w:t>
      </w:r>
      <w:r w:rsidR="001D29A0">
        <w:t xml:space="preserve"> and </w:t>
      </w:r>
      <w:r w:rsidR="407D49D1">
        <w:t>prosecution</w:t>
      </w:r>
      <w:r w:rsidR="001D29A0">
        <w:t xml:space="preserve"> as </w:t>
      </w:r>
      <w:r w:rsidR="05992B5A">
        <w:t xml:space="preserve">also </w:t>
      </w:r>
      <w:r w:rsidR="0026523A">
        <w:t xml:space="preserve">being </w:t>
      </w:r>
      <w:r w:rsidR="05992B5A">
        <w:t>necessary</w:t>
      </w:r>
      <w:r w:rsidR="001D29A0">
        <w:t xml:space="preserve">. </w:t>
      </w:r>
    </w:p>
    <w:p w14:paraId="48AB261C" w14:textId="1F00219A" w:rsidR="00FB4032" w:rsidRPr="006A192A" w:rsidRDefault="001D29A0" w:rsidP="00FB4032">
      <w:pPr>
        <w:pStyle w:val="LTU-Body10pt"/>
      </w:pPr>
      <w:r>
        <w:t>The workplace was another key setting identified</w:t>
      </w:r>
      <w:r w:rsidR="00FB4032" w:rsidRPr="006A192A">
        <w:t xml:space="preserve">. </w:t>
      </w:r>
      <w:r w:rsidR="00FB4032">
        <w:t>Participants</w:t>
      </w:r>
      <w:r w:rsidR="00FB4032" w:rsidRPr="006A192A">
        <w:t xml:space="preserve"> noted that</w:t>
      </w:r>
      <w:r w:rsidR="00266EFC">
        <w:t xml:space="preserve"> </w:t>
      </w:r>
      <w:r w:rsidR="00FB4032" w:rsidRPr="006A192A">
        <w:t xml:space="preserve">workplaces </w:t>
      </w:r>
      <w:r w:rsidR="0E5DB205">
        <w:t>are</w:t>
      </w:r>
      <w:r w:rsidR="00266EFC">
        <w:t xml:space="preserve"> </w:t>
      </w:r>
      <w:r w:rsidR="32D15FC2">
        <w:t>setting</w:t>
      </w:r>
      <w:r w:rsidR="0DA387A6">
        <w:t>s</w:t>
      </w:r>
      <w:r w:rsidR="00FB4032" w:rsidRPr="006A192A">
        <w:t xml:space="preserve"> where various forms of SVH can occur </w:t>
      </w:r>
      <w:r w:rsidR="00A83ECD">
        <w:t xml:space="preserve">and </w:t>
      </w:r>
      <w:r w:rsidR="198BB71F">
        <w:t>are</w:t>
      </w:r>
      <w:r w:rsidR="00A83ECD">
        <w:t xml:space="preserve"> often poorly dealt with. However, the workplace also offers </w:t>
      </w:r>
      <w:r w:rsidR="00FB4032" w:rsidRPr="006A192A">
        <w:t>a</w:t>
      </w:r>
      <w:r w:rsidR="0069082B">
        <w:t xml:space="preserve"> range of</w:t>
      </w:r>
      <w:r w:rsidR="00FB4032" w:rsidRPr="006A192A">
        <w:t xml:space="preserve"> </w:t>
      </w:r>
      <w:r w:rsidR="0069082B">
        <w:t xml:space="preserve">opportunities </w:t>
      </w:r>
      <w:r w:rsidR="00FB4032" w:rsidRPr="006A192A">
        <w:t xml:space="preserve">for </w:t>
      </w:r>
      <w:r w:rsidR="0069082B">
        <w:t>primary prevention</w:t>
      </w:r>
      <w:r w:rsidR="00531DFE">
        <w:t>,</w:t>
      </w:r>
      <w:r w:rsidR="0069082B">
        <w:t xml:space="preserve"> such as </w:t>
      </w:r>
      <w:r w:rsidR="00FB4032" w:rsidRPr="006A192A">
        <w:t>implementing training, working with a range of sectors</w:t>
      </w:r>
      <w:r w:rsidR="0026523A">
        <w:t>,</w:t>
      </w:r>
      <w:r w:rsidR="00FB4032" w:rsidRPr="006A192A">
        <w:t xml:space="preserve"> and challenging cultural norms. </w:t>
      </w:r>
    </w:p>
    <w:p w14:paraId="68E1ECE4" w14:textId="77777777" w:rsidR="00FB4032" w:rsidRPr="006A192A" w:rsidRDefault="00FB4032" w:rsidP="007A68F1">
      <w:pPr>
        <w:pStyle w:val="LTU-Subhead3"/>
      </w:pPr>
      <w:r w:rsidRPr="006A192A">
        <w:t>Life-course, whole-of-</w:t>
      </w:r>
      <w:r w:rsidRPr="007A68F1">
        <w:t>system</w:t>
      </w:r>
      <w:r w:rsidRPr="006A192A">
        <w:t xml:space="preserve"> approach</w:t>
      </w:r>
    </w:p>
    <w:p w14:paraId="4B9D1129" w14:textId="1A94AF70" w:rsidR="00225DD5" w:rsidRPr="00932B2F" w:rsidRDefault="00FB4032" w:rsidP="00932B2F">
      <w:pPr>
        <w:pStyle w:val="LTU-Body10pt"/>
        <w:sectPr w:rsidR="00225DD5" w:rsidRPr="00932B2F" w:rsidSect="000D79D0">
          <w:headerReference w:type="even" r:id="rId22"/>
          <w:pgSz w:w="11906" w:h="16838" w:code="9"/>
          <w:pgMar w:top="1134" w:right="709" w:bottom="1276" w:left="1418" w:header="709" w:footer="624" w:gutter="0"/>
          <w:cols w:space="708"/>
          <w:docGrid w:linePitch="360"/>
        </w:sectPr>
      </w:pPr>
      <w:r w:rsidRPr="006A192A">
        <w:lastRenderedPageBreak/>
        <w:t>Participants discussed how change would not happen quickly and needed to involve a range of different approaches. Rather than one setting or intervention type, change would happen through many settings that spanned across the life course. This must include policy, education, training</w:t>
      </w:r>
      <w:r w:rsidR="0026523A">
        <w:t>,</w:t>
      </w:r>
      <w:r w:rsidR="00932B2F">
        <w:t xml:space="preserve"> and early childhood support. </w:t>
      </w:r>
    </w:p>
    <w:p w14:paraId="4696F1FA" w14:textId="114322D9" w:rsidR="00835163" w:rsidRDefault="00835163" w:rsidP="00F4284A">
      <w:pPr>
        <w:pStyle w:val="DSSBody"/>
      </w:pPr>
    </w:p>
    <w:p w14:paraId="65EA3410" w14:textId="510835F8" w:rsidR="00225DD5" w:rsidRPr="00835163" w:rsidRDefault="00932B2F" w:rsidP="00932B2F">
      <w:pPr>
        <w:spacing w:after="0" w:line="240" w:lineRule="auto"/>
        <w:ind w:right="-1418"/>
        <w:rPr>
          <w:lang w:val="en-GB"/>
        </w:rPr>
        <w:sectPr w:rsidR="00225DD5" w:rsidRPr="00835163" w:rsidSect="00835163">
          <w:pgSz w:w="20160" w:h="12240" w:orient="landscape" w:code="5"/>
          <w:pgMar w:top="0" w:right="2240" w:bottom="418" w:left="1276" w:header="709" w:footer="624" w:gutter="0"/>
          <w:cols w:space="708"/>
          <w:docGrid w:linePitch="360"/>
        </w:sectPr>
      </w:pPr>
      <w:bookmarkStart w:id="43" w:name="_GoBack"/>
      <w:r>
        <w:rPr>
          <w:noProof/>
          <w:lang w:eastAsia="en-AU"/>
        </w:rPr>
        <w:drawing>
          <wp:inline distT="0" distB="0" distL="0" distR="0" wp14:anchorId="42F700EF" wp14:editId="080FBC45">
            <wp:extent cx="8694544" cy="6109508"/>
            <wp:effectExtent l="0" t="0" r="0" b="5715"/>
            <wp:docPr id="1" name="Picture 1" descr="Life-course, whole-of-system approach&#10;Complex Graphic detailing the approach with opening statement:&#10;Sexual Violence &amp; Harassment (VH) ia a human rights abuse.&#10;It is pervasive and harmful to victim—survivors ans society.&#10;Yes, it is prevental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94544" cy="6109508"/>
                    </a:xfrm>
                    <a:prstGeom prst="rect">
                      <a:avLst/>
                    </a:prstGeom>
                    <a:noFill/>
                  </pic:spPr>
                </pic:pic>
              </a:graphicData>
            </a:graphic>
          </wp:inline>
        </w:drawing>
      </w:r>
      <w:bookmarkEnd w:id="43"/>
    </w:p>
    <w:p w14:paraId="64D45AAC" w14:textId="20F85EC1" w:rsidR="003C16AB" w:rsidRPr="003C16AB" w:rsidRDefault="00E5225F" w:rsidP="001A4884">
      <w:pPr>
        <w:pStyle w:val="LTU-Sectionheading"/>
      </w:pPr>
      <w:bookmarkStart w:id="44" w:name="_Toc67035843"/>
      <w:r>
        <w:lastRenderedPageBreak/>
        <w:t>T</w:t>
      </w:r>
      <w:r w:rsidR="002F53E4" w:rsidRPr="006A192A">
        <w:t>heory of Change</w:t>
      </w:r>
      <w:bookmarkEnd w:id="44"/>
    </w:p>
    <w:p w14:paraId="792A04F8" w14:textId="02CE29E7" w:rsidR="00265260" w:rsidRPr="00265260" w:rsidRDefault="002F53E4" w:rsidP="001A4884">
      <w:pPr>
        <w:pStyle w:val="LTU-Subhead1"/>
      </w:pPr>
      <w:bookmarkStart w:id="45" w:name="_Toc67035844"/>
      <w:r w:rsidRPr="006A192A">
        <w:t>W</w:t>
      </w:r>
      <w:r w:rsidR="00E140F6" w:rsidRPr="006A192A">
        <w:t>hy a T</w:t>
      </w:r>
      <w:r w:rsidR="00FC34E4" w:rsidRPr="006A192A">
        <w:t xml:space="preserve">heory </w:t>
      </w:r>
      <w:r w:rsidR="00E140F6" w:rsidRPr="006A192A">
        <w:t>o</w:t>
      </w:r>
      <w:r w:rsidR="00FC34E4" w:rsidRPr="006A192A">
        <w:t xml:space="preserve">f </w:t>
      </w:r>
      <w:r w:rsidR="00E140F6" w:rsidRPr="006A192A">
        <w:t>C</w:t>
      </w:r>
      <w:r w:rsidR="00FC34E4" w:rsidRPr="006A192A">
        <w:t>hange?</w:t>
      </w:r>
      <w:bookmarkEnd w:id="45"/>
    </w:p>
    <w:p w14:paraId="197BEC81" w14:textId="3A2A339F" w:rsidR="0053071E" w:rsidRDefault="00983B89" w:rsidP="00310044">
      <w:pPr>
        <w:pStyle w:val="LTU-Body10pt"/>
        <w:spacing w:after="0"/>
      </w:pPr>
      <w:r>
        <w:t>S</w:t>
      </w:r>
      <w:r w:rsidR="00376A78">
        <w:t>exual violence and harassment</w:t>
      </w:r>
      <w:r>
        <w:t xml:space="preserve"> is pervasive and needs a</w:t>
      </w:r>
      <w:r w:rsidR="0069082B">
        <w:t xml:space="preserve"> comprehensive</w:t>
      </w:r>
      <w:r>
        <w:t xml:space="preserve"> plan for how to prevent it from occurring. A Theory of Change </w:t>
      </w:r>
      <w:r w:rsidR="001A3C1B" w:rsidRPr="006A192A">
        <w:t xml:space="preserve">is </w:t>
      </w:r>
      <w:r w:rsidR="00A72507">
        <w:t>“</w:t>
      </w:r>
      <w:r w:rsidR="001A3C1B" w:rsidRPr="006A192A">
        <w:t>a</w:t>
      </w:r>
      <w:r w:rsidR="0035056D" w:rsidRPr="006A192A">
        <w:t>n ongoing process of reflection to explore change and how it happens</w:t>
      </w:r>
      <w:r w:rsidR="00B229D0">
        <w:t>—</w:t>
      </w:r>
      <w:r w:rsidR="0035056D" w:rsidRPr="006A192A">
        <w:t>and what that means for the part organisations play in a particular context, sector and/or group of people</w:t>
      </w:r>
      <w:r w:rsidR="00A72507">
        <w:t>”</w:t>
      </w:r>
      <w:r w:rsidR="002B6ACF" w:rsidRPr="006A192A">
        <w:t xml:space="preserve"> </w:t>
      </w:r>
      <w:r w:rsidR="00E26B93" w:rsidRPr="006A192A">
        <w:fldChar w:fldCharType="begin" w:fldLock="1"/>
      </w:r>
      <w:r w:rsidR="00871E8F" w:rsidRPr="006A192A">
        <w:instrText>ADDIN CSL_CITATION {"citationItems":[{"id":"ITEM-1","itemData":{"author":[{"dropping-particle":"","family":"James","given":"Cathy","non-dropping-particle":"","parse-names":false,"suffix":""}],"id":"ITEM-1","issued":{"date-parts":[["2011"]]},"title":"Theory of Change review: A report commissioned by Comic Relief","type":"report"},"uris":["http://www.mendeley.com/documents/?uuid=9e502679-e598-3eb0-98fe-62226b439b37"]}],"mendeley":{"formattedCitation":"(James, 2011)","plainTextFormattedCitation":"(James, 2011)","previouslyFormattedCitation":"(James, 2011)"},"properties":{"noteIndex":0},"schema":"https://github.com/citation-style-language/schema/raw/master/csl-citation.json"}</w:instrText>
      </w:r>
      <w:r w:rsidR="00E26B93" w:rsidRPr="006A192A">
        <w:fldChar w:fldCharType="separate"/>
      </w:r>
      <w:r w:rsidR="00E26B93" w:rsidRPr="006A192A">
        <w:rPr>
          <w:noProof/>
        </w:rPr>
        <w:t>(James, 2011)</w:t>
      </w:r>
      <w:r w:rsidR="00E26B93" w:rsidRPr="006A192A">
        <w:fldChar w:fldCharType="end"/>
      </w:r>
      <w:r w:rsidR="001A3C1B" w:rsidRPr="006A192A">
        <w:t xml:space="preserve">. </w:t>
      </w:r>
      <w:r w:rsidR="003875B9" w:rsidRPr="006A192A">
        <w:t xml:space="preserve">To date, </w:t>
      </w:r>
      <w:r w:rsidR="00B00864" w:rsidRPr="006A192A">
        <w:t xml:space="preserve">a </w:t>
      </w:r>
      <w:r w:rsidR="00310044">
        <w:t xml:space="preserve">specific </w:t>
      </w:r>
      <w:r w:rsidR="004516F9" w:rsidRPr="006A192A">
        <w:t>Theory of Change</w:t>
      </w:r>
      <w:r w:rsidR="00B00864" w:rsidRPr="006A192A">
        <w:t xml:space="preserve"> that focuses on both sexual violence and sexual harassment in Australia has not been </w:t>
      </w:r>
      <w:r w:rsidR="006813D1">
        <w:t>develop</w:t>
      </w:r>
      <w:r w:rsidR="00B00864" w:rsidRPr="006A192A">
        <w:t xml:space="preserve">ed. </w:t>
      </w:r>
    </w:p>
    <w:p w14:paraId="77E62107" w14:textId="0ADE60BA" w:rsidR="0053071E" w:rsidRDefault="0053071E" w:rsidP="0053071E">
      <w:pPr>
        <w:pStyle w:val="LTU-Body10pt"/>
      </w:pPr>
      <w:r w:rsidRPr="006A192A">
        <w:t xml:space="preserve">This Theory of Change builds on the framework laid out by </w:t>
      </w:r>
      <w:r w:rsidRPr="00D7605C">
        <w:t>Our Watch et al.</w:t>
      </w:r>
      <w:r w:rsidRPr="0E056740">
        <w:rPr>
          <w:i/>
          <w:iCs/>
        </w:rPr>
        <w:t xml:space="preserve"> </w:t>
      </w:r>
      <w:r w:rsidRPr="006A192A">
        <w:fldChar w:fldCharType="begin" w:fldLock="1"/>
      </w:r>
      <w:r w:rsidRPr="006A192A">
        <w:instrText>ADDIN CSL_CITATION {"citationItems":[{"id":"ITEM-1","itemData":{"author":[{"dropping-particle":"","family":"Our Watch","given":"","non-dropping-particle":"","parse-names":false,"suffix":""},{"dropping-particle":"","family":"VicHealth","given":"","non-dropping-particle":"","parse-names":false,"suffix":""},{"dropping-particle":"","family":"Australia’s National Research Organisation for Women’s Safety (ANROWS)","given":"","non-dropping-particle":"","parse-names":false,"suffix":""}],"id":"ITEM-1","issued":{"date-parts":[["2015"]]},"publisher":"Our Watch","publisher-place":"Melbourne","title":"Change the story: A shared framework for the primary prevention of violence against women and their children in Australia","type":"book"},"suppress-author":1,"uris":["http://www.mendeley.com/documents/?uuid=1ac2cfc8-d99d-352b-bef7-4d255532f942"]}],"mendeley":{"formattedCitation":"(2015)","plainTextFormattedCitation":"(2015)","previouslyFormattedCitation":"(2015)"},"properties":{"noteIndex":0},"schema":"https://github.com/citation-style-language/schema/raw/master/csl-citation.json"}</w:instrText>
      </w:r>
      <w:r w:rsidRPr="006A192A">
        <w:fldChar w:fldCharType="separate"/>
      </w:r>
      <w:r w:rsidRPr="006A192A">
        <w:rPr>
          <w:noProof/>
        </w:rPr>
        <w:t>(2015)</w:t>
      </w:r>
      <w:r w:rsidRPr="006A192A">
        <w:fldChar w:fldCharType="end"/>
      </w:r>
      <w:r>
        <w:t xml:space="preserve"> and other prevention of VAW change theories such as the </w:t>
      </w:r>
      <w:r w:rsidR="71E2E029" w:rsidRPr="0081E91C">
        <w:rPr>
          <w:i/>
          <w:iCs/>
        </w:rPr>
        <w:t xml:space="preserve">RESPECT </w:t>
      </w:r>
      <w:r w:rsidR="71E2E029">
        <w:t>framework</w:t>
      </w:r>
      <w:r w:rsidR="00210CC6">
        <w:t xml:space="preserve"> </w:t>
      </w:r>
      <w:r w:rsidR="00210CC6">
        <w:fldChar w:fldCharType="begin" w:fldLock="1"/>
      </w:r>
      <w:r w:rsidR="0072195E">
        <w:instrText>ADDIN CSL_CITATION {"citationItems":[{"id":"ITEM-1","itemData":{"abstract":"Primary Prevention","author":[{"dropping-particle":"","family":"World Health Organization","given":"","non-dropping-particle":"","parse-names":false,"suffix":""}],"id":"ITEM-1","issue":"WHO/RHR/18.19","issued":{"date-parts":[["2019"]]},"note":"The primary audience for this document is policymakers. Programme implementers working on preventing and responding to violence against women will also find it useful for designing, planning, implementing, and monitoring and evaluating interventions and programmes.\nExcellent PP guide","publisher":"WHO","publisher-place":"Geneva","title":"RESPECT women: Preventing violence against women","type":"report"},"uris":["http://www.mendeley.com/documents/?uuid=64812ca3-004a-3cfb-9a09-2e09abf8ff22"]}],"mendeley":{"formattedCitation":"(World Health Organization, 2019)","plainTextFormattedCitation":"(World Health Organization, 2019)","previouslyFormattedCitation":"(World Health Organization, 2019)"},"properties":{"noteIndex":0},"schema":"https://github.com/citation-style-language/schema/raw/master/csl-citation.json"}</w:instrText>
      </w:r>
      <w:r w:rsidR="00210CC6">
        <w:fldChar w:fldCharType="separate"/>
      </w:r>
      <w:r w:rsidR="00210CC6" w:rsidRPr="00210CC6">
        <w:rPr>
          <w:noProof/>
        </w:rPr>
        <w:t>(World Health Organization, 2019)</w:t>
      </w:r>
      <w:r w:rsidR="00210CC6">
        <w:fldChar w:fldCharType="end"/>
      </w:r>
      <w:r w:rsidR="009C41D0">
        <w:t>,</w:t>
      </w:r>
      <w:r>
        <w:t xml:space="preserve"> </w:t>
      </w:r>
      <w:r w:rsidRPr="3B07E0AA">
        <w:rPr>
          <w:i/>
          <w:iCs/>
        </w:rPr>
        <w:t>A framework to underpin action to prevent violence against women</w:t>
      </w:r>
      <w:r w:rsidR="0072195E">
        <w:rPr>
          <w:i/>
          <w:iCs/>
        </w:rPr>
        <w:t xml:space="preserve"> </w:t>
      </w:r>
      <w:r w:rsidR="0072195E">
        <w:rPr>
          <w:i/>
          <w:iCs/>
        </w:rPr>
        <w:fldChar w:fldCharType="begin" w:fldLock="1"/>
      </w:r>
      <w:r w:rsidR="0072195E">
        <w:rPr>
          <w:i/>
          <w:iCs/>
        </w:rPr>
        <w:instrText>ADDIN CSL_CITATION {"citationItems":[{"id":"ITEM-1","itemData":{"abstract":"Prevention cannot be a short-term effort, but rather an endeavour that requires\rongoing commitment from governments and other stakeholders, increased\rresearch to inform and monitor progress, and persistent action that addresses\rviolence against women at its source.","author":[{"dropping-particle":"","family":"UN Women","given":"","non-dropping-particle":"","parse-names":false,"suffix":""}],"id":"ITEM-1","issued":{"date-parts":[["2015"]]},"note":"good section of theory of change and difference between theory and logic model.","title":"A framework to underpin action to prevent violence against women","type":"report"},"uris":["http://www.mendeley.com/documents/?uuid=804d0ca4-2835-3e48-8fbb-32153e2c84ba"]}],"mendeley":{"formattedCitation":"(UN Women, 2015)","plainTextFormattedCitation":"(UN Women, 2015)","previouslyFormattedCitation":"(UN Women, 2015)"},"properties":{"noteIndex":0},"schema":"https://github.com/citation-style-language/schema/raw/master/csl-citation.json"}</w:instrText>
      </w:r>
      <w:r w:rsidR="0072195E">
        <w:rPr>
          <w:i/>
          <w:iCs/>
        </w:rPr>
        <w:fldChar w:fldCharType="separate"/>
      </w:r>
      <w:r w:rsidR="0072195E" w:rsidRPr="0072195E">
        <w:rPr>
          <w:iCs/>
          <w:noProof/>
        </w:rPr>
        <w:t>(UN Women, 2015)</w:t>
      </w:r>
      <w:r w:rsidR="0072195E">
        <w:rPr>
          <w:i/>
          <w:iCs/>
        </w:rPr>
        <w:fldChar w:fldCharType="end"/>
      </w:r>
      <w:r w:rsidR="009C41D0">
        <w:t>,</w:t>
      </w:r>
      <w:r>
        <w:t xml:space="preserve"> </w:t>
      </w:r>
      <w:r w:rsidRPr="6BC81437">
        <w:rPr>
          <w:i/>
          <w:iCs/>
        </w:rPr>
        <w:t>STOP SV</w:t>
      </w:r>
      <w:r>
        <w:t xml:space="preserve"> </w:t>
      </w:r>
      <w:r w:rsidR="0072195E">
        <w:fldChar w:fldCharType="begin" w:fldLock="1"/>
      </w:r>
      <w:r w:rsidR="0072195E">
        <w:instrText>ADDIN CSL_CITATION {"citationItems":[{"id":"ITEM-1","itemData":{"author":[{"dropping-particle":"","family":"Basile","given":"Kathleen C.","non-dropping-particle":"","parse-names":false,"suffix":""},{"dropping-particle":"","family":"DeGue","given":"Sarah A","non-dropping-particle":"","parse-names":false,"suffix":""},{"dropping-particle":"","family":"Jones","given":"Kathryn","non-dropping-particle":"","parse-names":false,"suffix":""},{"dropping-particle":"","family":"Freire","given":"Kimberley","non-dropping-particle":"","parse-names":false,"suffix":""},{"dropping-particle":"","family":"Dills","given":"Jenny","non-dropping-particle":"","parse-names":false,"suffix":""},{"dropping-particle":"","family":"Smith","given":"Sharon G","non-dropping-particle":"","parse-names":false,"suffix":""},{"dropping-particle":"","family":"Raiford","given":"Jerris L","non-dropping-particle":"","parse-names":false,"suffix":""}],"id":"ITEM-1","issued":{"date-parts":[["2016"]]},"publisher":"Centers for Disease Control","title":"STOP SV: A technical package to prevent sexual violence","type":"book"},"uris":["http://www.mendeley.com/documents/?uuid=0aaa9daa-a99d-3f21-8519-03b7d6901b88"]}],"mendeley":{"formattedCitation":"(Basile et al., 2016)","plainTextFormattedCitation":"(Basile et al., 2016)","previouslyFormattedCitation":"(Basile et al., 2016)"},"properties":{"noteIndex":0},"schema":"https://github.com/citation-style-language/schema/raw/master/csl-citation.json"}</w:instrText>
      </w:r>
      <w:r w:rsidR="0072195E">
        <w:fldChar w:fldCharType="separate"/>
      </w:r>
      <w:r w:rsidR="0072195E" w:rsidRPr="0072195E">
        <w:rPr>
          <w:noProof/>
        </w:rPr>
        <w:t>(Basile et al., 2016)</w:t>
      </w:r>
      <w:r w:rsidR="0072195E">
        <w:fldChar w:fldCharType="end"/>
      </w:r>
      <w:r>
        <w:t xml:space="preserve"> and </w:t>
      </w:r>
      <w:r w:rsidRPr="007C6761">
        <w:rPr>
          <w:i/>
          <w:iCs/>
        </w:rPr>
        <w:t>Pride in prevention</w:t>
      </w:r>
      <w:r w:rsidR="0072195E">
        <w:rPr>
          <w:i/>
          <w:iCs/>
        </w:rPr>
        <w:t xml:space="preserve"> </w:t>
      </w:r>
      <w:r w:rsidR="0072195E">
        <w:rPr>
          <w:i/>
          <w:iCs/>
        </w:rPr>
        <w:fldChar w:fldCharType="begin" w:fldLock="1"/>
      </w:r>
      <w:r w:rsidR="00E17B64">
        <w:rPr>
          <w:i/>
          <w:iCs/>
        </w:rPr>
        <w:instrText>ADDIN CSL_CITATION {"citationItems":[{"id":"ITEM-1","itemData":{"ISBN":"9780648716662","author":[{"dropping-particle":"","family":"Carman","given":"Marina","non-dropping-particle":"","parse-names":false,"suffix":""},{"dropping-particle":"","family":"Fairchild","given":"Jackson","non-dropping-particle":"","parse-names":false,"suffix":""},{"dropping-particle":"","family":"Parsons","given":"Matthew","non-dropping-particle":"","parse-names":false,"suffix":""},{"dropping-particle":"","family":"Farrugia","given":"Claire","non-dropping-particle":"","parse-names":false,"suffix":""},{"dropping-particle":"","family":"Power","given":"Jennifer","non-dropping-particle":"","parse-names":false,"suffix":""},{"dropping-particle":"","family":"Bourne","given":"Adam","non-dropping-particle":"","parse-names":false,"suffix":""}],"id":"ITEM-1","issued":{"date-parts":[["2020"]]},"publisher-place":"Melbourne","title":"Pride in Prevention","type":"report"},"uris":["http://www.mendeley.com/documents/?uuid=60c68b7a-fa62-4ed4-ae4a-16bfd630fe54"]}],"mendeley":{"formattedCitation":"(Carman et al., 2020)","plainTextFormattedCitation":"(Carman et al., 2020)","previouslyFormattedCitation":"(Carman et al., 2020)"},"properties":{"noteIndex":0},"schema":"https://github.com/citation-style-language/schema/raw/master/csl-citation.json"}</w:instrText>
      </w:r>
      <w:r w:rsidR="0072195E">
        <w:rPr>
          <w:i/>
          <w:iCs/>
        </w:rPr>
        <w:fldChar w:fldCharType="separate"/>
      </w:r>
      <w:r w:rsidR="0072195E" w:rsidRPr="0072195E">
        <w:rPr>
          <w:iCs/>
          <w:noProof/>
        </w:rPr>
        <w:t>(Carman et al., 2020)</w:t>
      </w:r>
      <w:r w:rsidR="0072195E">
        <w:rPr>
          <w:i/>
          <w:iCs/>
        </w:rPr>
        <w:fldChar w:fldCharType="end"/>
      </w:r>
      <w:r w:rsidR="002A3408">
        <w:t>.</w:t>
      </w:r>
    </w:p>
    <w:p w14:paraId="04840072" w14:textId="000B3728" w:rsidR="008E565A" w:rsidRPr="006A192A" w:rsidRDefault="007603DB" w:rsidP="001A4884">
      <w:pPr>
        <w:pStyle w:val="LTU-Subhead1"/>
      </w:pPr>
      <w:r>
        <w:br w:type="page"/>
      </w:r>
      <w:bookmarkStart w:id="46" w:name="_Toc67035845"/>
      <w:r w:rsidR="00AB7C29" w:rsidRPr="006A192A">
        <w:lastRenderedPageBreak/>
        <w:t>Guiding Principles to SVH Primary Prevention Research</w:t>
      </w:r>
      <w:bookmarkEnd w:id="46"/>
    </w:p>
    <w:p w14:paraId="026DA7BA" w14:textId="3251BC30" w:rsidR="00C26971" w:rsidRDefault="00161459" w:rsidP="006F4EF4">
      <w:pPr>
        <w:pStyle w:val="LTU-Body10pt"/>
      </w:pPr>
      <w:r w:rsidRPr="006A192A">
        <w:t xml:space="preserve">A Theory of Change is by necessity generalised, in order to be adaptable to a range of contexts and needs. </w:t>
      </w:r>
      <w:r w:rsidR="00D6763F" w:rsidRPr="006A192A">
        <w:t xml:space="preserve">When using the Theory of Change to </w:t>
      </w:r>
      <w:r w:rsidR="63F91C68" w:rsidRPr="006A192A">
        <w:t>consider future research</w:t>
      </w:r>
      <w:r w:rsidR="00194742" w:rsidRPr="006A192A">
        <w:t xml:space="preserve">, pilot interventions or </w:t>
      </w:r>
      <w:r w:rsidR="3CA6F77A" w:rsidRPr="006A192A">
        <w:t xml:space="preserve">for </w:t>
      </w:r>
      <w:r w:rsidR="00194742" w:rsidRPr="006A192A">
        <w:t xml:space="preserve">any other use, we </w:t>
      </w:r>
      <w:r w:rsidR="00921926">
        <w:t>recommend following</w:t>
      </w:r>
      <w:r w:rsidR="00786A4B" w:rsidRPr="006A192A">
        <w:t xml:space="preserve"> these guiding principles</w:t>
      </w:r>
      <w:r w:rsidR="00E36367">
        <w:t>:</w:t>
      </w:r>
      <w:r w:rsidR="00786A4B" w:rsidRPr="006A192A">
        <w:t xml:space="preserve"> </w:t>
      </w:r>
    </w:p>
    <w:p w14:paraId="7C8444D7" w14:textId="77777777" w:rsidR="00F05680" w:rsidRPr="00F05680" w:rsidRDefault="00F05680" w:rsidP="00F05680">
      <w:pPr>
        <w:pStyle w:val="LTU-Bullets10pt"/>
      </w:pPr>
      <w:r w:rsidRPr="00F05680">
        <w:t>Focus on gender equality and drivers of perpetration</w:t>
      </w:r>
    </w:p>
    <w:p w14:paraId="7951EFE7" w14:textId="77777777" w:rsidR="00F05680" w:rsidRPr="00F05680" w:rsidRDefault="00F05680" w:rsidP="00F05680">
      <w:pPr>
        <w:pStyle w:val="LTU-Bullets10pt"/>
      </w:pPr>
      <w:r w:rsidRPr="00F05680">
        <w:t>Use an intersectional lens to consider how gender, race, ability, sexuality, socio-economic status (and other inequities in access and power) influences greater SVH victimisation and perpetration in some groups</w:t>
      </w:r>
    </w:p>
    <w:p w14:paraId="576D5E3D" w14:textId="77777777" w:rsidR="00F05680" w:rsidRPr="00F05680" w:rsidRDefault="00F05680" w:rsidP="00F05680">
      <w:pPr>
        <w:pStyle w:val="LTU-Bullets10pt"/>
      </w:pPr>
      <w:r w:rsidRPr="00F05680">
        <w:t>Co-design interventions with target audiences (e.g., young people/LGBTIQ/Aboriginal and Torres Strait Islander people). Include victim–survivor voices in all co-design</w:t>
      </w:r>
    </w:p>
    <w:p w14:paraId="19C5249A" w14:textId="77777777" w:rsidR="00F05680" w:rsidRPr="00F05680" w:rsidRDefault="00F05680" w:rsidP="00F05680">
      <w:pPr>
        <w:pStyle w:val="LTU-Bullets10pt"/>
      </w:pPr>
      <w:r w:rsidRPr="00F05680">
        <w:t>Implement evidence-based interventions only</w:t>
      </w:r>
    </w:p>
    <w:p w14:paraId="3B19E4A3" w14:textId="77777777" w:rsidR="00F05680" w:rsidRPr="00F05680" w:rsidRDefault="00F05680" w:rsidP="00F05680">
      <w:pPr>
        <w:pStyle w:val="LTU-Bullets10pt"/>
        <w:rPr>
          <w:rFonts w:eastAsiaTheme="minorEastAsia"/>
        </w:rPr>
      </w:pPr>
      <w:r w:rsidRPr="00F05680">
        <w:t>Use a life-course and developmental approach</w:t>
      </w:r>
    </w:p>
    <w:p w14:paraId="6B651FFF" w14:textId="77777777" w:rsidR="00F05680" w:rsidRPr="00F05680" w:rsidRDefault="00F05680" w:rsidP="00F05680">
      <w:pPr>
        <w:pStyle w:val="LTU-Bullets10pt"/>
      </w:pPr>
      <w:r w:rsidRPr="00F05680">
        <w:t>Do no harm</w:t>
      </w:r>
    </w:p>
    <w:p w14:paraId="21897139" w14:textId="77777777" w:rsidR="00F05680" w:rsidRPr="00F05680" w:rsidRDefault="00F05680" w:rsidP="00F05680">
      <w:pPr>
        <w:pStyle w:val="LTU-Bullets10pt"/>
      </w:pPr>
      <w:r w:rsidRPr="00F05680">
        <w:t>Ensure continuity across settings (e.g., primary–secondary–tertiary education)</w:t>
      </w:r>
    </w:p>
    <w:p w14:paraId="30C96DA7" w14:textId="77777777" w:rsidR="00F05680" w:rsidRPr="00F05680" w:rsidRDefault="00F05680" w:rsidP="00F05680">
      <w:pPr>
        <w:pStyle w:val="LTU-Bullets10pt"/>
      </w:pPr>
      <w:r w:rsidRPr="00F05680">
        <w:t>Ensure a system-supportive approach (e.g., schools support teachers to deliver Respectful Relationships Education /sexuality education)</w:t>
      </w:r>
    </w:p>
    <w:p w14:paraId="3A806042" w14:textId="77777777" w:rsidR="00F05680" w:rsidRPr="00F05680" w:rsidRDefault="00F05680" w:rsidP="00F05680">
      <w:pPr>
        <w:pStyle w:val="LTU-Bullets10pt"/>
      </w:pPr>
      <w:r w:rsidRPr="00F05680">
        <w:t>Focus on sustainability (e.g., co-design with end users and workforce capacity building)</w:t>
      </w:r>
    </w:p>
    <w:p w14:paraId="69F98D7B" w14:textId="77777777" w:rsidR="00F05680" w:rsidRPr="00F05680" w:rsidRDefault="00F05680" w:rsidP="00F05680">
      <w:pPr>
        <w:pStyle w:val="LTU-Bullets10pt"/>
      </w:pPr>
      <w:r w:rsidRPr="00F05680">
        <w:t>Evaluate and monitor interventions</w:t>
      </w:r>
    </w:p>
    <w:p w14:paraId="755CD26D" w14:textId="77777777" w:rsidR="00DA0058" w:rsidRDefault="00DA0058" w:rsidP="00F05680">
      <w:pPr>
        <w:pStyle w:val="Pullouts"/>
      </w:pPr>
      <w:r>
        <w:t>“Community-led, co-designed approaches that take into account cultural, social and other differences, that use language and ideas that can resonate</w:t>
      </w:r>
      <w:r w:rsidRPr="00DA0058">
        <w:t xml:space="preserve">.” </w:t>
      </w:r>
    </w:p>
    <w:p w14:paraId="189041EC" w14:textId="35B17EDE" w:rsidR="00DA0058" w:rsidRPr="00DA0058" w:rsidRDefault="00DA0058" w:rsidP="00F05680">
      <w:pPr>
        <w:pStyle w:val="Pullouts"/>
      </w:pPr>
      <w:r>
        <w:t>--</w:t>
      </w:r>
      <w:r w:rsidRPr="00DA0058">
        <w:t>Workshop participant</w:t>
      </w:r>
    </w:p>
    <w:p w14:paraId="7C6EE7DC" w14:textId="6D3B5747" w:rsidR="6527C4B7" w:rsidRDefault="6527C4B7" w:rsidP="00926D0A">
      <w:pPr>
        <w:pStyle w:val="LTU-Body10pt"/>
      </w:pPr>
      <w:r>
        <w:t>All approaches must be intersectional</w:t>
      </w:r>
      <w:r w:rsidR="6E299C9C">
        <w:t>,</w:t>
      </w:r>
      <w:r>
        <w:t xml:space="preserve"> with a focus on </w:t>
      </w:r>
      <w:r w:rsidR="29DB6D8E">
        <w:t>the</w:t>
      </w:r>
      <w:r>
        <w:t xml:space="preserve"> </w:t>
      </w:r>
      <w:r w:rsidR="585F448B">
        <w:t xml:space="preserve">drivers of SVH </w:t>
      </w:r>
      <w:r>
        <w:t>perpetration</w:t>
      </w:r>
      <w:r w:rsidR="24EECFD3">
        <w:t xml:space="preserve"> and behaviour change</w:t>
      </w:r>
      <w:r w:rsidR="008D3314">
        <w:t xml:space="preserve">, in order to prevent </w:t>
      </w:r>
      <w:r w:rsidR="15509C5B">
        <w:t>SVH</w:t>
      </w:r>
      <w:r>
        <w:t xml:space="preserve"> </w:t>
      </w:r>
      <w:r w:rsidRPr="00926D0A">
        <w:t>before</w:t>
      </w:r>
      <w:r>
        <w:t xml:space="preserve"> it starts. Where possible, interventions should form part of a larger suite of approaches that are across all levels of the ecological model </w:t>
      </w:r>
      <w:r w:rsidR="00F4569E">
        <w:fldChar w:fldCharType="begin" w:fldLock="1"/>
      </w:r>
      <w:r w:rsidR="00E33F7B">
        <w:instrText>ADDIN CSL_CITATION {"citationItems":[{"id":"ITEM-1","itemData":{"DOI":"10.1177/1077801298004003002","ISSN":"1077-8012","abstract":"&lt;p&gt; This article encourages the widespread adoption of an integrated, ecological framework for understanding the origins of gender-based violence. An ecological approach to abuse conceptualizes violence as a multifaceted phenomenon grounded in an interplay among personal, situational, and sociocultural factors. Although drawing on the conceptual advances of earlier theorists, this article goes beyond their work in three significant ways. First, it uses the ecological framework as a heuristic tool to organize the existing research base into an intelligible whole. Whereas other theorists present the framework as a way to think about violence, few have attempted to establish what factors emerge as predictive of abuse at each level of the social ecology. Second, this article integrates results from international and cross-cultural research together with findings from North American social science. And finally, the framework draws from findings related to all types of physical...","author":[{"dropping-particle":"","family":"Heise","given":"Lori L","non-dropping-particle":"","parse-names":false,"suffix":""}],"container-title":"Violence Against Women","id":"ITEM-1","issue":"3","issued":{"date-parts":[["1998"]]},"page":"262-290","publisher-place":"Thousand Oaks","title":"Violence against women: An integrated, ecological framework","type":"article-journal","volume":"4"},"uris":["http://www.mendeley.com/documents/?uuid=fd4de9fc-4545-34f7-84f3-3066353c2dd1"]}],"mendeley":{"formattedCitation":"(Heise, 1998)","plainTextFormattedCitation":"(Heise, 1998)","previouslyFormattedCitation":"(Heise, 1998)"},"properties":{"noteIndex":0},"schema":"https://github.com/citation-style-language/schema/raw/master/csl-citation.json"}</w:instrText>
      </w:r>
      <w:r w:rsidR="00F4569E">
        <w:fldChar w:fldCharType="separate"/>
      </w:r>
      <w:r w:rsidR="00F4569E" w:rsidRPr="00F4569E">
        <w:rPr>
          <w:noProof/>
        </w:rPr>
        <w:t>(Heise, 1998)</w:t>
      </w:r>
      <w:r w:rsidR="00F4569E">
        <w:fldChar w:fldCharType="end"/>
      </w:r>
      <w:r w:rsidR="37A88F51">
        <w:t>.</w:t>
      </w:r>
    </w:p>
    <w:p w14:paraId="41D0A187" w14:textId="429989A3" w:rsidR="00C26971" w:rsidRDefault="6527C4B7" w:rsidP="00265260">
      <w:pPr>
        <w:pStyle w:val="LTU-Body10pt"/>
        <w:sectPr w:rsidR="00C26971" w:rsidSect="00324D17">
          <w:pgSz w:w="11906" w:h="16838" w:code="9"/>
          <w:pgMar w:top="2240" w:right="709" w:bottom="1276" w:left="1418" w:header="709" w:footer="624" w:gutter="0"/>
          <w:cols w:space="708"/>
          <w:docGrid w:linePitch="360"/>
        </w:sectPr>
      </w:pPr>
      <w:r>
        <w:lastRenderedPageBreak/>
        <w:t>In addition, the drivers and reinforcing factors of SVH may also be the influencers of other common social and health-related issues. Working collaboratively across sectors (</w:t>
      </w:r>
      <w:r w:rsidR="00F24ED7">
        <w:t>e.g.</w:t>
      </w:r>
      <w:r w:rsidR="002F6244">
        <w:t>,</w:t>
      </w:r>
      <w:r w:rsidR="00F24ED7">
        <w:t xml:space="preserve"> </w:t>
      </w:r>
      <w:r>
        <w:t xml:space="preserve">family violence, sexual assault, health) on issues of common concern may be mutually beneficial, reduce costs and have more impact and long-term change. Sectors working together can leverage resources, facilitate </w:t>
      </w:r>
      <w:r w:rsidR="004D29B0">
        <w:t>data-</w:t>
      </w:r>
      <w:r>
        <w:t xml:space="preserve">sharing and communication, and align work that has the largest impact across sectors </w:t>
      </w:r>
      <w:r>
        <w:fldChar w:fldCharType="begin" w:fldLock="1"/>
      </w:r>
      <w:r>
        <w:instrText>ADDIN CSL_CITATION {"citationItems":[{"id":"ITEM-1","itemData":{"author":[{"dropping-particle":"","family":"Dills","given":"Jenny","non-dropping-particle":"","parse-names":false,"suffix":""},{"dropping-particle":"","family":"Jones","given":"Kathryn","non-dropping-particle":"","parse-names":false,"suffix":""},{"dropping-particle":"","family":"Brown","given":"Pamela","non-dropping-particle":"","parse-names":false,"suffix":""}],"id":"ITEM-1","issued":{"date-parts":[["2019"]]},"publisher":"National Center for Injury Prevention and Control, Centers for Disease Conrol and Prevention","publisher-place":"Atlanta","title":"Continuing the dialogue: Learning from the past and looking to the future of intimate partner violence and sexual violence prevention","type":"book"},"uris":["http://www.mendeley.com/documents/?uuid=5d74b6af-fc26-3fcb-8f92-3b947cfdd900"]}],"mendeley":{"formattedCitation":"(Dills et al., 2019)","plainTextFormattedCitation":"(Dills et al., 2019)","previouslyFormattedCitation":"(Dills et al., 2019)"},"properties":{"noteIndex":0},"schema":"https://github.com/citation-style-language/schema/raw/master/csl-citation.json"}</w:instrText>
      </w:r>
      <w:r>
        <w:fldChar w:fldCharType="separate"/>
      </w:r>
      <w:r w:rsidRPr="7BF42672">
        <w:rPr>
          <w:noProof/>
        </w:rPr>
        <w:t>(Dills et al., 2019)</w:t>
      </w:r>
      <w:r>
        <w:fldChar w:fldCharType="end"/>
      </w:r>
    </w:p>
    <w:p w14:paraId="292E2776" w14:textId="1B0C69E2" w:rsidR="00DA0058" w:rsidRPr="005C5297" w:rsidRDefault="005C5297" w:rsidP="00A87C32">
      <w:pPr>
        <w:pStyle w:val="Pullouts"/>
        <w:pBdr>
          <w:left w:val="single" w:sz="24" w:space="4" w:color="auto"/>
          <w:right w:val="single" w:sz="24" w:space="4" w:color="auto"/>
        </w:pBdr>
        <w:rPr>
          <w:b/>
          <w:bCs/>
        </w:rPr>
      </w:pPr>
      <w:bookmarkStart w:id="47" w:name="_Toc67035846"/>
      <w:r w:rsidRPr="005C5297">
        <w:rPr>
          <w:b/>
          <w:bCs/>
        </w:rPr>
        <w:t>PROBLEM STATEMENT</w:t>
      </w:r>
      <w:bookmarkEnd w:id="47"/>
      <w:r w:rsidRPr="005C5297">
        <w:rPr>
          <w:b/>
          <w:bCs/>
        </w:rPr>
        <w:t xml:space="preserve"> </w:t>
      </w:r>
    </w:p>
    <w:p w14:paraId="0480FB6F" w14:textId="39DF4818" w:rsidR="00DA0058" w:rsidRPr="005C5297" w:rsidRDefault="00DA0058" w:rsidP="00A87C32">
      <w:pPr>
        <w:pStyle w:val="Pullouts"/>
        <w:pBdr>
          <w:left w:val="single" w:sz="24" w:space="4" w:color="auto"/>
          <w:right w:val="single" w:sz="24" w:space="4" w:color="auto"/>
        </w:pBdr>
        <w:rPr>
          <w:b/>
          <w:bCs/>
        </w:rPr>
      </w:pPr>
      <w:r w:rsidRPr="005C5297">
        <w:rPr>
          <w:rStyle w:val="PlaceholderText"/>
          <w:b/>
          <w:bCs/>
          <w:color w:val="auto"/>
        </w:rPr>
        <w:t>Sexual violence and harassment is a human rights abuse. It is pervasive and harmful to victim–survivors and society. Yet, it is preventable.</w:t>
      </w:r>
    </w:p>
    <w:p w14:paraId="711DDB6B" w14:textId="3720CDDF" w:rsidR="006F4EF4" w:rsidRDefault="00B9165C" w:rsidP="00DA0058">
      <w:pPr>
        <w:pStyle w:val="LTU-Subhead1"/>
      </w:pPr>
      <w:r>
        <w:rPr>
          <w:lang w:eastAsia="ja-JP"/>
        </w:rPr>
        <w:br w:type="page"/>
      </w:r>
      <w:bookmarkStart w:id="48" w:name="_Toc67035847"/>
      <w:r w:rsidR="001175E4" w:rsidRPr="006A192A">
        <w:lastRenderedPageBreak/>
        <w:t>B</w:t>
      </w:r>
      <w:r w:rsidR="00BB664B" w:rsidRPr="006A192A">
        <w:t>arriers</w:t>
      </w:r>
      <w:r w:rsidR="006442A5">
        <w:t xml:space="preserve"> to </w:t>
      </w:r>
      <w:r w:rsidR="008836A9">
        <w:t>P</w:t>
      </w:r>
      <w:r w:rsidR="006442A5">
        <w:t xml:space="preserve">rimary </w:t>
      </w:r>
      <w:r w:rsidR="008836A9">
        <w:t>P</w:t>
      </w:r>
      <w:r w:rsidR="006442A5">
        <w:t>revention</w:t>
      </w:r>
      <w:bookmarkEnd w:id="48"/>
      <w:r w:rsidR="006442A5">
        <w:t xml:space="preserve"> </w:t>
      </w:r>
    </w:p>
    <w:p w14:paraId="22B9CE00" w14:textId="3BE4A07E" w:rsidR="00567FDB" w:rsidRDefault="00680D60" w:rsidP="00BF0369">
      <w:pPr>
        <w:pStyle w:val="LTU-Body10pt"/>
      </w:pPr>
      <w:r w:rsidRPr="1D83DA49">
        <w:rPr>
          <w:rFonts w:cs="Calibri"/>
          <w:lang w:bidi="en-US"/>
        </w:rPr>
        <w:t>Our Watch et al. (2015)</w:t>
      </w:r>
      <w:r w:rsidR="00766AA4" w:rsidRPr="1D83DA49">
        <w:rPr>
          <w:rFonts w:cs="Calibri"/>
          <w:lang w:bidi="en-US"/>
        </w:rPr>
        <w:t xml:space="preserve"> </w:t>
      </w:r>
      <w:r w:rsidRPr="1D83DA49">
        <w:rPr>
          <w:rFonts w:cs="Calibri"/>
          <w:lang w:bidi="en-US"/>
        </w:rPr>
        <w:t xml:space="preserve">describe factors that influence the perpetration of </w:t>
      </w:r>
      <w:r w:rsidR="00D95042">
        <w:rPr>
          <w:rFonts w:cs="Calibri"/>
          <w:lang w:bidi="en-US"/>
        </w:rPr>
        <w:t>VAW</w:t>
      </w:r>
      <w:r w:rsidRPr="1D83DA49">
        <w:rPr>
          <w:rFonts w:cs="Calibri"/>
          <w:lang w:bidi="en-US"/>
        </w:rPr>
        <w:t xml:space="preserve"> </w:t>
      </w:r>
      <w:r w:rsidR="00E532A9" w:rsidRPr="1D83DA49">
        <w:rPr>
          <w:rFonts w:cs="Calibri"/>
          <w:lang w:bidi="en-US"/>
        </w:rPr>
        <w:t xml:space="preserve">and classifies them into </w:t>
      </w:r>
      <w:r w:rsidR="00E532A9">
        <w:rPr>
          <w:rFonts w:cs="Calibri"/>
          <w:lang w:bidi="en-US"/>
        </w:rPr>
        <w:t>“</w:t>
      </w:r>
      <w:r w:rsidR="00E532A9" w:rsidRPr="1D83DA49">
        <w:rPr>
          <w:rFonts w:cs="Calibri"/>
          <w:lang w:bidi="en-US"/>
        </w:rPr>
        <w:t>gendered drivers</w:t>
      </w:r>
      <w:r w:rsidR="00E532A9">
        <w:rPr>
          <w:rFonts w:cs="Calibri"/>
          <w:lang w:bidi="en-US"/>
        </w:rPr>
        <w:t xml:space="preserve">” </w:t>
      </w:r>
      <w:r w:rsidR="00E532A9" w:rsidRPr="1D83DA49">
        <w:rPr>
          <w:rFonts w:cs="Calibri"/>
          <w:lang w:bidi="en-US"/>
        </w:rPr>
        <w:t xml:space="preserve">and </w:t>
      </w:r>
      <w:r w:rsidR="00E532A9">
        <w:rPr>
          <w:rFonts w:cs="Calibri"/>
          <w:lang w:bidi="en-US"/>
        </w:rPr>
        <w:t>“</w:t>
      </w:r>
      <w:r w:rsidR="00E532A9" w:rsidRPr="1D83DA49">
        <w:rPr>
          <w:rFonts w:cs="Calibri"/>
          <w:lang w:bidi="en-US"/>
        </w:rPr>
        <w:t>reinforcing factors</w:t>
      </w:r>
      <w:r w:rsidR="00E532A9">
        <w:rPr>
          <w:rFonts w:cs="Calibri"/>
          <w:lang w:bidi="en-US"/>
        </w:rPr>
        <w:t>” (</w:t>
      </w:r>
      <w:r w:rsidR="00E532A9" w:rsidRPr="1D83DA49">
        <w:rPr>
          <w:rFonts w:cs="Calibri"/>
          <w:lang w:bidi="en-US"/>
        </w:rPr>
        <w:t xml:space="preserve">Appendix I). </w:t>
      </w:r>
      <w:r w:rsidR="00E532A9">
        <w:t>Gender inequality is a driving factor behind VAW</w:t>
      </w:r>
      <w:r w:rsidR="00CE52F7">
        <w:t xml:space="preserve"> yet each of </w:t>
      </w:r>
      <w:r>
        <w:t>the gendered drivers can manifest in ways that drive sexual violence. There are certain reinforcing factors that can increase the severity</w:t>
      </w:r>
      <w:r w:rsidR="00CE52F7">
        <w:t xml:space="preserve"> and </w:t>
      </w:r>
      <w:r>
        <w:t>frequency of sexual violence (e.g.</w:t>
      </w:r>
      <w:r w:rsidR="00360243">
        <w:t>,</w:t>
      </w:r>
      <w:r>
        <w:t xml:space="preserve"> alcohol). </w:t>
      </w:r>
      <w:r w:rsidR="00BB664B" w:rsidRPr="006A192A">
        <w:t xml:space="preserve">Experiencing one or all of these </w:t>
      </w:r>
      <w:r w:rsidR="0013220C">
        <w:t xml:space="preserve">gendered </w:t>
      </w:r>
      <w:r w:rsidR="00BB664B" w:rsidRPr="006A192A">
        <w:t xml:space="preserve">drivers/reinforcing factors does not necessarily lead to SVH but may increase the chance of </w:t>
      </w:r>
      <w:r w:rsidR="000D2E5F">
        <w:t>SVH</w:t>
      </w:r>
      <w:r w:rsidR="00BB664B" w:rsidRPr="006A192A">
        <w:t xml:space="preserve"> occurring</w:t>
      </w:r>
      <w:r w:rsidR="00D12568">
        <w:t xml:space="preserve"> </w:t>
      </w:r>
      <w:r w:rsidR="00D12568">
        <w:fldChar w:fldCharType="begin" w:fldLock="1"/>
      </w:r>
      <w:r w:rsidR="00717B4D">
        <w:instrText>ADDIN CSL_CITATION {"citationItems":[{"id":"ITEM-1","itemData":{"DOI":"10.1080/16549716.2020.1739845","ISSN":"1654-9716","abstract":"Background: Understanding the drivers of intimate partner violence (IPV), perpetrated by men and experienced by women, is a critical task for developing effective prevention programmes. Objectives: To provide a comprehensive assessment of the drivers of IPV. Methods: A comprehensive review of the drivers of IPV, at the end of a six-year programme of research through the What Works to Prevent Violence Against Women and Girls Global Programme with reference to other important research in the field. Results: Broadly, we argue that IPV is driven by poverty, patriarchal privilege, and the normative use of violence in interpersonal relationships. These factors also increase childhood trauma, poor mental health and substance misuse, and poor communication and conflict in relationships, which in turn impact on IPV. Disability status, and contexts of armed conflict, or post-conflict, further reinforce and exacerbate these risks. We move beyond describing associations towards describing the causal pathways through which these factors operate to increase IPV. Conclusions: Specific recommendations about the future of further research on drivers of IPV include a greater focus on understanding the causal pathways from drivers to IPV and clearly delineating association from causality in studies, particularly for women and girls with disabilities, in armed conflicts, and adolescent girls and young women. To achieve this, we recommend extensive in-depth qualitative research, and complex quantitative modeling studies. Understanding drivers and causal pathways better will enable the identification of points of entry for the development of more effective IPV prevention interventions.","author":[{"dropping-particle":"","family":"Gibbs","given":"Andrew","non-dropping-particle":"","parse-names":false,"suffix":""},{"dropping-particle":"","family":"Dunkle","given":"Kristin","non-dropping-particle":"","parse-names":false,"suffix":""},{"dropping-particle":"","family":"Ramsoomar","given":"Leane","non-dropping-particle":"","parse-names":false,"suffix":""},{"dropping-particle":"","family":"Willan","given":"Samantha","non-dropping-particle":"","parse-names":false,"suffix":""},{"dropping-particle":"","family":"Jama Shai","given":"Nwabisa","non-dropping-particle":"","parse-names":false,"suffix":""},{"dropping-particle":"","family":"Chatterji","given":"Sangeeta","non-dropping-particle":"","parse-names":false,"suffix":""},{"dropping-particle":"","family":"Naved","given":"Ruchira","non-dropping-particle":"","parse-names":false,"suffix":""},{"dropping-particle":"","family":"Jewkes","given":"Rachel","non-dropping-particle":"","parse-names":false,"suffix":""}],"container-title":"Global Health Action","id":"ITEM-1","issue":"1","issued":{"date-parts":[["2020","12","31"]]},"page":"1739845","publisher":"Taylor and Francis Ltd.","title":"New learnings on drivers of men’s physical and/or sexual violence against their female partners, and women’s experiences of this, and the implications for prevention interventions","type":"article-journal","volume":"13"},"uris":["http://www.mendeley.com/documents/?uuid=ff19222c-88b8-3c91-8349-7820d6236bc9"]}],"mendeley":{"formattedCitation":"(Gibbs et al., 2020)","plainTextFormattedCitation":"(Gibbs et al., 2020)","previouslyFormattedCitation":"(Gibbs et al., 2020)"},"properties":{"noteIndex":0},"schema":"https://github.com/citation-style-language/schema/raw/master/csl-citation.json"}</w:instrText>
      </w:r>
      <w:r w:rsidR="00D12568">
        <w:fldChar w:fldCharType="separate"/>
      </w:r>
      <w:r w:rsidR="00D12568" w:rsidRPr="00D12568">
        <w:rPr>
          <w:noProof/>
        </w:rPr>
        <w:t>(Gibbs et al., 2020)</w:t>
      </w:r>
      <w:r w:rsidR="00D12568">
        <w:fldChar w:fldCharType="end"/>
      </w:r>
      <w:r w:rsidR="00BB664B" w:rsidRPr="006A192A">
        <w:t xml:space="preserve">. </w:t>
      </w:r>
    </w:p>
    <w:p w14:paraId="1AE55B14" w14:textId="77777777" w:rsidR="00F05680" w:rsidRDefault="00A34DCE" w:rsidP="00AA3417">
      <w:pPr>
        <w:pStyle w:val="LTU-Body10pt"/>
      </w:pPr>
      <w:r>
        <w:t xml:space="preserve">We outline some of the specific gendered drivers and reinforcing factors that relate to SVH. </w:t>
      </w:r>
      <w:r w:rsidR="006456E4">
        <w:t xml:space="preserve">These are categorised into </w:t>
      </w:r>
      <w:r w:rsidR="00273E32">
        <w:t>societal-</w:t>
      </w:r>
      <w:r w:rsidR="006456E4">
        <w:t xml:space="preserve">level and action barriers. </w:t>
      </w:r>
      <w:r w:rsidR="007F5EE7">
        <w:t>The</w:t>
      </w:r>
      <w:r w:rsidR="006B257B">
        <w:t xml:space="preserve"> </w:t>
      </w:r>
      <w:r w:rsidR="00273E32">
        <w:t>societal-</w:t>
      </w:r>
      <w:r w:rsidR="006B257B">
        <w:t xml:space="preserve">level barriers </w:t>
      </w:r>
      <w:r w:rsidR="1D634AB6">
        <w:t xml:space="preserve">go beyond </w:t>
      </w:r>
      <w:r w:rsidR="00D174A1">
        <w:t xml:space="preserve">individual </w:t>
      </w:r>
      <w:r w:rsidR="1D634AB6">
        <w:t>responsibility</w:t>
      </w:r>
      <w:r w:rsidR="003C3B39">
        <w:t xml:space="preserve"> </w:t>
      </w:r>
      <w:r w:rsidR="7265E50C">
        <w:t xml:space="preserve">and </w:t>
      </w:r>
      <w:r w:rsidR="003C3B39">
        <w:t xml:space="preserve">are part of the larger </w:t>
      </w:r>
      <w:r w:rsidR="00273E32">
        <w:t>societal-</w:t>
      </w:r>
      <w:r w:rsidR="003C3B39">
        <w:t>level issues relating to SVH. Not all barriers are equal</w:t>
      </w:r>
      <w:r w:rsidR="004D29B0">
        <w:t>;</w:t>
      </w:r>
      <w:r w:rsidR="00E23CE2">
        <w:t xml:space="preserve"> some have a larger impact than others</w:t>
      </w:r>
      <w:r w:rsidR="2D5A3AE6">
        <w:t>,</w:t>
      </w:r>
      <w:r w:rsidR="00E23CE2">
        <w:t xml:space="preserve"> but here we draw out those that relate to SVH specifically. </w:t>
      </w:r>
    </w:p>
    <w:p w14:paraId="184DBE2B" w14:textId="666805F7" w:rsidR="00C23FB9" w:rsidRDefault="00F05680" w:rsidP="00AA3417">
      <w:pPr>
        <w:pStyle w:val="LTU-Body10pt"/>
      </w:pPr>
      <w:r w:rsidRPr="00B12544">
        <w:t>Societal</w:t>
      </w:r>
      <w:r>
        <w:t>-</w:t>
      </w:r>
      <w:r w:rsidRPr="00B12544">
        <w:t>level barriers to primary prevention</w:t>
      </w:r>
      <w:r w:rsidRPr="006A192A">
        <w:t xml:space="preserve"> </w:t>
      </w:r>
      <w:r w:rsidR="00BB664B" w:rsidRPr="006A192A">
        <w:t>are</w:t>
      </w:r>
      <w:r w:rsidR="00AA3417">
        <w:t>:</w:t>
      </w:r>
    </w:p>
    <w:p w14:paraId="0D8EA28C" w14:textId="77777777" w:rsidR="00F05680" w:rsidRPr="00DA0058" w:rsidRDefault="00F05680" w:rsidP="00F05680">
      <w:pPr>
        <w:pStyle w:val="LTU-Bullets10pt"/>
      </w:pPr>
      <w:r w:rsidRPr="00DA0058">
        <w:t>Misogyny/Sexism</w:t>
      </w:r>
    </w:p>
    <w:p w14:paraId="33FE91C7" w14:textId="77777777" w:rsidR="00F05680" w:rsidRPr="00DA0058" w:rsidRDefault="00F05680" w:rsidP="00F05680">
      <w:pPr>
        <w:pStyle w:val="LTU-Bullets10pt"/>
      </w:pPr>
      <w:r w:rsidRPr="00DA0058">
        <w:t>Harmful masculinities</w:t>
      </w:r>
    </w:p>
    <w:p w14:paraId="482B4C9E" w14:textId="77777777" w:rsidR="00F05680" w:rsidRPr="00DA0058" w:rsidRDefault="00F05680" w:rsidP="00F05680">
      <w:pPr>
        <w:pStyle w:val="LTU-Bullets10pt"/>
      </w:pPr>
      <w:r w:rsidRPr="00DA0058">
        <w:t>Rigid gender norms and heteronormativity</w:t>
      </w:r>
    </w:p>
    <w:p w14:paraId="4027349F" w14:textId="77777777" w:rsidR="00F05680" w:rsidRPr="00DA0058" w:rsidRDefault="00F05680" w:rsidP="00F05680">
      <w:pPr>
        <w:pStyle w:val="LTU-Bullets10pt"/>
      </w:pPr>
      <w:r w:rsidRPr="00DA0058">
        <w:t>Structural inequality and discrimination (e.g., poverty, colonialism, homophobia, racism, transphobia, ableism)</w:t>
      </w:r>
    </w:p>
    <w:p w14:paraId="3B1A8ED4" w14:textId="77777777" w:rsidR="00F05680" w:rsidRPr="00DA0058" w:rsidRDefault="00F05680" w:rsidP="00F05680">
      <w:pPr>
        <w:pStyle w:val="LTU-Bullets10pt"/>
      </w:pPr>
      <w:r w:rsidRPr="00DA0058">
        <w:t>Objectification and sexualisation of women and girls</w:t>
      </w:r>
    </w:p>
    <w:p w14:paraId="04E63768" w14:textId="77777777" w:rsidR="00F05680" w:rsidRPr="00DA0058" w:rsidRDefault="00F05680" w:rsidP="00F05680">
      <w:pPr>
        <w:pStyle w:val="LTU-Bullets10pt"/>
      </w:pPr>
      <w:r w:rsidRPr="00DA0058">
        <w:t xml:space="preserve">Male belief in entitlement to sexual gratification </w:t>
      </w:r>
    </w:p>
    <w:p w14:paraId="0EE842D6" w14:textId="77777777" w:rsidR="00F05680" w:rsidRPr="00DA0058" w:rsidRDefault="00F05680" w:rsidP="00F05680">
      <w:pPr>
        <w:pStyle w:val="LTU-Bullets10pt"/>
      </w:pPr>
      <w:r w:rsidRPr="00DA0058">
        <w:t>Resistance to change</w:t>
      </w:r>
    </w:p>
    <w:p w14:paraId="7F58CC1A" w14:textId="77777777" w:rsidR="00F05680" w:rsidRPr="00DA0058" w:rsidRDefault="00F05680" w:rsidP="00F05680">
      <w:pPr>
        <w:pStyle w:val="LTU-Bullets10pt"/>
      </w:pPr>
      <w:r w:rsidRPr="00DA0058">
        <w:t>Harmful alcohol culture</w:t>
      </w:r>
    </w:p>
    <w:p w14:paraId="76E9274F" w14:textId="77777777" w:rsidR="00C23FB9" w:rsidRPr="00C23FB9" w:rsidRDefault="00C23FB9" w:rsidP="00C23FB9"/>
    <w:p w14:paraId="544CE98E" w14:textId="77777777" w:rsidR="00CE5BA8" w:rsidRDefault="00CE5BA8">
      <w:pPr>
        <w:spacing w:after="0" w:line="240" w:lineRule="auto"/>
        <w:rPr>
          <w:rFonts w:cs="Arial"/>
          <w:sz w:val="24"/>
        </w:rPr>
      </w:pPr>
      <w:r>
        <w:br w:type="page"/>
      </w:r>
    </w:p>
    <w:p w14:paraId="073EF2DD" w14:textId="77777777" w:rsidR="005C5297" w:rsidRDefault="251C1B5F" w:rsidP="00CE5BA8">
      <w:pPr>
        <w:pStyle w:val="LTU-Body10pt"/>
        <w:keepNext/>
      </w:pPr>
      <w:r>
        <w:lastRenderedPageBreak/>
        <w:t xml:space="preserve">Along </w:t>
      </w:r>
      <w:r w:rsidR="7A70697E">
        <w:t>with</w:t>
      </w:r>
      <w:r w:rsidR="003C3B39">
        <w:t xml:space="preserve"> the societal</w:t>
      </w:r>
      <w:r w:rsidR="00273E32">
        <w:t>-</w:t>
      </w:r>
      <w:r w:rsidR="003C3B39">
        <w:t>level barriers</w:t>
      </w:r>
      <w:r w:rsidR="57BBE12A">
        <w:t xml:space="preserve"> to the primary prevention of SVH</w:t>
      </w:r>
      <w:r w:rsidR="3A09B346">
        <w:t>,</w:t>
      </w:r>
      <w:r w:rsidR="7922697E">
        <w:t xml:space="preserve"> </w:t>
      </w:r>
      <w:r w:rsidR="7AC1B131">
        <w:t>there</w:t>
      </w:r>
      <w:r w:rsidR="00E23CE2">
        <w:t xml:space="preserve"> are </w:t>
      </w:r>
      <w:r w:rsidR="7AC1B131">
        <w:t>more</w:t>
      </w:r>
      <w:r w:rsidR="006F0CE6">
        <w:t xml:space="preserve"> practical barriers </w:t>
      </w:r>
      <w:r w:rsidR="148D4427">
        <w:t xml:space="preserve">at an individual or </w:t>
      </w:r>
      <w:r w:rsidR="11B8E7D3">
        <w:t>organisational</w:t>
      </w:r>
      <w:r w:rsidR="148D4427">
        <w:t xml:space="preserve"> level that require</w:t>
      </w:r>
      <w:r w:rsidR="006F0CE6">
        <w:t xml:space="preserve"> action</w:t>
      </w:r>
      <w:r w:rsidR="7AC1B131">
        <w:t>.</w:t>
      </w:r>
      <w:r w:rsidR="00BE29AD">
        <w:t xml:space="preserve"> </w:t>
      </w:r>
    </w:p>
    <w:p w14:paraId="64B9D734" w14:textId="4C70B809" w:rsidR="00DA0058" w:rsidRDefault="005C5297" w:rsidP="005C5297">
      <w:pPr>
        <w:pStyle w:val="LTU-Body10pt"/>
        <w:keepNext/>
      </w:pPr>
      <w:r w:rsidRPr="001F2533">
        <w:t>Practical barriers to action</w:t>
      </w:r>
      <w:r>
        <w:t xml:space="preserve"> </w:t>
      </w:r>
      <w:r w:rsidR="6A8A5E66">
        <w:t>include</w:t>
      </w:r>
      <w:r w:rsidR="00AA3417">
        <w:t>:</w:t>
      </w:r>
      <w:r w:rsidR="28523332">
        <w:t xml:space="preserve"> </w:t>
      </w:r>
    </w:p>
    <w:p w14:paraId="141895E9" w14:textId="77777777" w:rsidR="005C5297" w:rsidRPr="00DA0058" w:rsidRDefault="005C5297" w:rsidP="005C5297">
      <w:pPr>
        <w:pStyle w:val="LTU-Bullets10pt"/>
      </w:pPr>
      <w:r w:rsidRPr="00DA0058">
        <w:t>Poor engagement of men and boys</w:t>
      </w:r>
    </w:p>
    <w:p w14:paraId="0E3BCCC3" w14:textId="77777777" w:rsidR="005C5297" w:rsidRPr="00DA0058" w:rsidRDefault="005C5297" w:rsidP="005C5297">
      <w:pPr>
        <w:pStyle w:val="LTU-Bullets10pt"/>
      </w:pPr>
      <w:r w:rsidRPr="00DA0058">
        <w:t>Limited awareness of SVH, and how gender intersects with structural inequalities on the basis of race, sexuality, disability and class</w:t>
      </w:r>
    </w:p>
    <w:p w14:paraId="272B0266" w14:textId="77777777" w:rsidR="005C5297" w:rsidRPr="00DA0058" w:rsidRDefault="005C5297" w:rsidP="005C5297">
      <w:pPr>
        <w:pStyle w:val="LTU-Bullets10pt"/>
      </w:pPr>
      <w:r w:rsidRPr="00DA0058">
        <w:t xml:space="preserve">Commercial interests and profit imperatives </w:t>
      </w:r>
    </w:p>
    <w:p w14:paraId="3807C751" w14:textId="77777777" w:rsidR="005C5297" w:rsidRPr="00DA0058" w:rsidRDefault="005C5297" w:rsidP="005C5297">
      <w:pPr>
        <w:pStyle w:val="LTU-Bullets10pt"/>
      </w:pPr>
      <w:r w:rsidRPr="00DA0058">
        <w:t>Lack of accountability and leadership/Ineffective laws and policies</w:t>
      </w:r>
    </w:p>
    <w:p w14:paraId="1D76341D" w14:textId="77777777" w:rsidR="005C5297" w:rsidRPr="00DA0058" w:rsidRDefault="005C5297" w:rsidP="005C5297">
      <w:pPr>
        <w:pStyle w:val="LTU-Bullets10pt"/>
      </w:pPr>
      <w:r w:rsidRPr="00DA0058">
        <w:t>Lack of evidence for effective interventions</w:t>
      </w:r>
    </w:p>
    <w:p w14:paraId="5AB9ED2A" w14:textId="77777777" w:rsidR="005C5297" w:rsidRPr="00DA0058" w:rsidRDefault="005C5297" w:rsidP="005C5297">
      <w:pPr>
        <w:pStyle w:val="LTU-Bullets10pt"/>
      </w:pPr>
      <w:r>
        <w:t>Lack of ongoing and sustained funding</w:t>
      </w:r>
    </w:p>
    <w:p w14:paraId="5B43095B" w14:textId="77777777" w:rsidR="000F6B08" w:rsidRDefault="000F6B08" w:rsidP="00AA3417">
      <w:pPr>
        <w:pStyle w:val="Caption"/>
      </w:pPr>
    </w:p>
    <w:p w14:paraId="518C2F6E" w14:textId="598A13CF" w:rsidR="00DA0058" w:rsidRPr="00DA0058" w:rsidRDefault="00DA0058" w:rsidP="00DA0058">
      <w:pPr>
        <w:sectPr w:rsidR="00DA0058" w:rsidRPr="00DA0058" w:rsidSect="00451DAC">
          <w:type w:val="continuous"/>
          <w:pgSz w:w="11906" w:h="16838" w:code="9"/>
          <w:pgMar w:top="2240" w:right="709" w:bottom="1276" w:left="1418" w:header="709" w:footer="624" w:gutter="0"/>
          <w:cols w:space="708"/>
          <w:docGrid w:linePitch="360"/>
        </w:sectPr>
      </w:pPr>
    </w:p>
    <w:p w14:paraId="290EC7D9" w14:textId="77777777" w:rsidR="00D45055" w:rsidRDefault="00D45055">
      <w:pPr>
        <w:spacing w:after="0" w:line="240" w:lineRule="auto"/>
        <w:rPr>
          <w:rFonts w:eastAsia="MS Mincho" w:cs="Arial"/>
          <w:b/>
          <w:bCs/>
          <w:noProof/>
          <w:color w:val="565652"/>
          <w:sz w:val="48"/>
          <w:szCs w:val="48"/>
          <w:lang w:bidi="en-US"/>
        </w:rPr>
      </w:pPr>
      <w:bookmarkStart w:id="49" w:name="_Toc67035848"/>
      <w:r>
        <w:rPr>
          <w:noProof/>
        </w:rPr>
        <w:br w:type="page"/>
      </w:r>
    </w:p>
    <w:p w14:paraId="1A728AF8" w14:textId="16B188DD" w:rsidR="000F6B08" w:rsidRDefault="00C003AC" w:rsidP="00BF773C">
      <w:pPr>
        <w:pStyle w:val="LTU-Sectionheading"/>
        <w:rPr>
          <w:noProof/>
        </w:rPr>
      </w:pPr>
      <w:r>
        <w:rPr>
          <w:noProof/>
        </w:rPr>
        <w:lastRenderedPageBreak/>
        <w:t>Narrative</w:t>
      </w:r>
      <w:r w:rsidR="00B9462F">
        <w:rPr>
          <w:noProof/>
        </w:rPr>
        <w:t xml:space="preserve"> </w:t>
      </w:r>
      <w:r w:rsidR="00D74C16">
        <w:rPr>
          <w:noProof/>
        </w:rPr>
        <w:t>Theory of Change</w:t>
      </w:r>
      <w:bookmarkEnd w:id="49"/>
      <w:r w:rsidR="00D74C16">
        <w:rPr>
          <w:noProof/>
        </w:rPr>
        <w:t xml:space="preserve">  </w:t>
      </w:r>
    </w:p>
    <w:p w14:paraId="374A08A3" w14:textId="2046F094" w:rsidR="000F6B08" w:rsidRPr="000F6B08" w:rsidRDefault="00936085" w:rsidP="00936085">
      <w:pPr>
        <w:rPr>
          <w:lang w:bidi="en-US"/>
        </w:rPr>
        <w:sectPr w:rsidR="000F6B08" w:rsidRPr="000F6B08" w:rsidSect="00D74C16">
          <w:type w:val="continuous"/>
          <w:pgSz w:w="11906" w:h="16838" w:code="9"/>
          <w:pgMar w:top="2240" w:right="709" w:bottom="1276" w:left="1418" w:header="709" w:footer="624" w:gutter="0"/>
          <w:cols w:space="708"/>
          <w:docGrid w:linePitch="360"/>
        </w:sectPr>
      </w:pPr>
      <w:r>
        <w:rPr>
          <w:noProof/>
          <w:lang w:eastAsia="en-AU"/>
        </w:rPr>
        <mc:AlternateContent>
          <mc:Choice Requires="wps">
            <w:drawing>
              <wp:anchor distT="0" distB="0" distL="114300" distR="114300" simplePos="0" relativeHeight="251657233" behindDoc="0" locked="0" layoutInCell="1" allowOverlap="1" wp14:anchorId="2CF1EE99" wp14:editId="11864AEA">
                <wp:simplePos x="0" y="0"/>
                <wp:positionH relativeFrom="column">
                  <wp:posOffset>747215</wp:posOffset>
                </wp:positionH>
                <wp:positionV relativeFrom="paragraph">
                  <wp:posOffset>6970486</wp:posOffset>
                </wp:positionV>
                <wp:extent cx="6169206" cy="579120"/>
                <wp:effectExtent l="0" t="0" r="3175" b="5080"/>
                <wp:wrapNone/>
                <wp:docPr id="28" name="Text Box 28" descr="Figure 1: Theory of Change "/>
                <wp:cNvGraphicFramePr/>
                <a:graphic xmlns:a="http://schemas.openxmlformats.org/drawingml/2006/main">
                  <a:graphicData uri="http://schemas.microsoft.com/office/word/2010/wordprocessingShape">
                    <wps:wsp>
                      <wps:cNvSpPr txBox="1"/>
                      <wps:spPr>
                        <a:xfrm>
                          <a:off x="0" y="0"/>
                          <a:ext cx="6169206" cy="579120"/>
                        </a:xfrm>
                        <a:prstGeom prst="rect">
                          <a:avLst/>
                        </a:prstGeom>
                        <a:solidFill>
                          <a:prstClr val="white"/>
                        </a:solidFill>
                        <a:ln>
                          <a:noFill/>
                        </a:ln>
                      </wps:spPr>
                      <wps:txbx>
                        <w:txbxContent>
                          <w:p w14:paraId="22442317" w14:textId="50E25B60" w:rsidR="002423D7" w:rsidRPr="00D81780" w:rsidRDefault="002423D7" w:rsidP="00C83E11">
                            <w:pPr>
                              <w:pStyle w:val="Caption"/>
                              <w:rPr>
                                <w:rFonts w:eastAsia="MS Mincho" w:cs="Arial"/>
                                <w:b/>
                                <w:color w:val="565652"/>
                                <w:spacing w:val="5"/>
                                <w:sz w:val="48"/>
                                <w:szCs w:val="56"/>
                                <w:lang w:bidi="en-US"/>
                              </w:rPr>
                            </w:pPr>
                            <w:bookmarkStart w:id="50" w:name="_Toc65156127"/>
                            <w:r>
                              <w:t xml:space="preserve">Figure </w:t>
                            </w:r>
                            <w:r>
                              <w:fldChar w:fldCharType="begin"/>
                            </w:r>
                            <w:r>
                              <w:instrText>SEQ Figure \* ARABIC</w:instrText>
                            </w:r>
                            <w:r>
                              <w:fldChar w:fldCharType="separate"/>
                            </w:r>
                            <w:r w:rsidR="00436F3C">
                              <w:rPr>
                                <w:noProof/>
                              </w:rPr>
                              <w:t>1</w:t>
                            </w:r>
                            <w:r>
                              <w:fldChar w:fldCharType="end"/>
                            </w:r>
                            <w:r w:rsidR="00BF773C">
                              <w:t xml:space="preserve">: </w:t>
                            </w:r>
                            <w:r>
                              <w:t xml:space="preserve">Theory of Change </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CF1EE99" id="_x0000_t202" coordsize="21600,21600" o:spt="202" path="m,l,21600r21600,l21600,xe">
                <v:stroke joinstyle="miter"/>
                <v:path gradientshapeok="t" o:connecttype="rect"/>
              </v:shapetype>
              <v:shape id="Text Box 28" o:spid="_x0000_s1026" type="#_x0000_t202" alt="Figure 1: Theory of Change " style="position:absolute;margin-left:58.85pt;margin-top:548.85pt;width:485.75pt;height:45.6pt;z-index:251657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" stroked="f">
                <v:textbox inset="0,0,0,0">
                  <w:txbxContent>
                    <w:p w14:paraId="22442317" w14:textId="50E25B60" w:rsidR="002423D7" w:rsidRPr="00D81780" w:rsidRDefault="002423D7" w:rsidP="00C83E11">
                      <w:pPr>
                        <w:pStyle w:val="Caption"/>
                        <w:rPr>
                          <w:rFonts w:eastAsia="MS Mincho" w:cs="Arial"/>
                          <w:b/>
                          <w:color w:val="565652"/>
                          <w:spacing w:val="5"/>
                          <w:sz w:val="48"/>
                          <w:szCs w:val="56"/>
                          <w:lang w:bidi="en-US"/>
                        </w:rPr>
                      </w:pPr>
                      <w:bookmarkStart w:id="50" w:name="_Toc65156127"/>
                      <w:r>
                        <w:t xml:space="preserve">Figure </w:t>
                      </w:r>
                      <w:r>
                        <w:fldChar w:fldCharType="begin"/>
                      </w:r>
                      <w:r>
                        <w:instrText>SEQ Figure \* ARABIC</w:instrText>
                      </w:r>
                      <w:r>
                        <w:fldChar w:fldCharType="separate"/>
                      </w:r>
                      <w:r w:rsidR="00436F3C">
                        <w:rPr>
                          <w:noProof/>
                        </w:rPr>
                        <w:t>1</w:t>
                      </w:r>
                      <w:r>
                        <w:fldChar w:fldCharType="end"/>
                      </w:r>
                      <w:r w:rsidR="00BF773C">
                        <w:t xml:space="preserve">: </w:t>
                      </w:r>
                      <w:r>
                        <w:t xml:space="preserve">Theory of Change </w:t>
                      </w:r>
                      <w:bookmarkEnd w:id="50"/>
                    </w:p>
                  </w:txbxContent>
                </v:textbox>
              </v:shape>
            </w:pict>
          </mc:Fallback>
        </mc:AlternateContent>
      </w:r>
      <w:r>
        <w:rPr>
          <w:noProof/>
          <w:lang w:eastAsia="en-AU"/>
        </w:rPr>
        <w:drawing>
          <wp:inline distT="0" distB="0" distL="0" distR="0" wp14:anchorId="226D38C0" wp14:editId="0E2EC75F">
            <wp:extent cx="6209665" cy="6885940"/>
            <wp:effectExtent l="0" t="0" r="0" b="0"/>
            <wp:docPr id="8" name="Picture 8" descr="Narrative Theory of Change graphic&#10;Policy and Reform, Transform Social Norms, Safe Environments, Education for Behaviour Change, Early Supportive Relationships. Ultimate goal - Society free from SVH&#10;Goes on to outline Barriers to Primary Prevention dividing them into Societal-Level Barriers and Pracitical barriers to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Narrative Theory of Change graphic&#10;Policy and Reform, Transform Social Norms, Safe Environments, Education for Behaviour Change, Early Supportive Relationships. Ultimate goal - Society free from SVH&#10;Goes on to outline Barriers to Primary Prevention dividing them into Societal-Level Barriers and Pracitical barriers to Action"/>
                    <pic:cNvPicPr/>
                  </pic:nvPicPr>
                  <pic:blipFill>
                    <a:blip r:embed="rId24">
                      <a:extLst>
                        <a:ext uri="{28A0092B-C50C-407E-A947-70E740481C1C}">
                          <a14:useLocalDpi xmlns:a14="http://schemas.microsoft.com/office/drawing/2010/main" val="0"/>
                        </a:ext>
                      </a:extLst>
                    </a:blip>
                    <a:stretch>
                      <a:fillRect/>
                    </a:stretch>
                  </pic:blipFill>
                  <pic:spPr>
                    <a:xfrm>
                      <a:off x="0" y="0"/>
                      <a:ext cx="6209665" cy="6885940"/>
                    </a:xfrm>
                    <a:prstGeom prst="rect">
                      <a:avLst/>
                    </a:prstGeom>
                  </pic:spPr>
                </pic:pic>
              </a:graphicData>
            </a:graphic>
          </wp:inline>
        </w:drawing>
      </w:r>
    </w:p>
    <w:p w14:paraId="67F13A98" w14:textId="3A5E0F85" w:rsidR="00442980" w:rsidRPr="00265260" w:rsidRDefault="00442980" w:rsidP="00BF773C">
      <w:pPr>
        <w:pStyle w:val="LTU-Subhead1"/>
      </w:pPr>
      <w:bookmarkStart w:id="51" w:name="_Toc67035849"/>
      <w:r w:rsidRPr="00265260">
        <w:lastRenderedPageBreak/>
        <w:t>Conceptual Framework</w:t>
      </w:r>
      <w:bookmarkEnd w:id="51"/>
    </w:p>
    <w:p w14:paraId="33F84DE7" w14:textId="767CB187" w:rsidR="00970B12" w:rsidRDefault="00442980" w:rsidP="00970B12">
      <w:pPr>
        <w:pStyle w:val="LTU-Body10pt"/>
      </w:pPr>
      <w:r w:rsidRPr="006A192A">
        <w:t xml:space="preserve">The proposed Theory of Change includes the schematic </w:t>
      </w:r>
      <w:r w:rsidR="0438BD5D" w:rsidRPr="0073707D">
        <w:t>picture</w:t>
      </w:r>
      <w:r w:rsidR="1B563B1B" w:rsidRPr="0073707D">
        <w:t>d</w:t>
      </w:r>
      <w:r w:rsidRPr="0073707D">
        <w:t xml:space="preserve"> above</w:t>
      </w:r>
      <w:r w:rsidRPr="006A192A">
        <w:t xml:space="preserve"> </w:t>
      </w:r>
      <w:r w:rsidR="0073707D">
        <w:t>(</w:t>
      </w:r>
      <w:r w:rsidR="627E1247">
        <w:t>Figure</w:t>
      </w:r>
      <w:r w:rsidR="0073707D">
        <w:t xml:space="preserve"> 1)</w:t>
      </w:r>
      <w:r w:rsidR="0003327B">
        <w:t>,</w:t>
      </w:r>
      <w:r w:rsidR="0073707D">
        <w:t xml:space="preserve"> </w:t>
      </w:r>
      <w:r w:rsidR="0A6E198B">
        <w:t>which</w:t>
      </w:r>
      <w:r>
        <w:t xml:space="preserve"> indicates </w:t>
      </w:r>
      <w:r w:rsidRPr="006A192A">
        <w:t xml:space="preserve">the </w:t>
      </w:r>
      <w:r w:rsidR="4F849031">
        <w:t xml:space="preserve">socioecological level </w:t>
      </w:r>
      <w:r w:rsidR="449B753F">
        <w:t>impact</w:t>
      </w:r>
      <w:r w:rsidR="4F674A2D">
        <w:t>s</w:t>
      </w:r>
      <w:r w:rsidR="449B753F">
        <w:t xml:space="preserve"> </w:t>
      </w:r>
      <w:r w:rsidR="4F849031">
        <w:t xml:space="preserve">of activities </w:t>
      </w:r>
      <w:r w:rsidR="36826CB7">
        <w:t xml:space="preserve">outlined in the Theory of Change. </w:t>
      </w:r>
    </w:p>
    <w:p w14:paraId="541124FD" w14:textId="690055DA" w:rsidR="00970B12" w:rsidRDefault="04124F45" w:rsidP="00970B12">
      <w:pPr>
        <w:pStyle w:val="LTU-Body10pt"/>
      </w:pPr>
      <w:r>
        <w:t>Each tier of the Theory of Change feeds into the other tiers</w:t>
      </w:r>
      <w:r w:rsidR="0003327B">
        <w:t>—</w:t>
      </w:r>
      <w:r>
        <w:t xml:space="preserve">they are not separate. However, for ease of reading, they are depicted as separate tiers to draw out nuances </w:t>
      </w:r>
      <w:r w:rsidR="00C3543E">
        <w:t>of</w:t>
      </w:r>
      <w:r>
        <w:t xml:space="preserve"> the primary prevention of SVH. </w:t>
      </w:r>
    </w:p>
    <w:p w14:paraId="543A95B5" w14:textId="3E9B0A9C" w:rsidR="45346B0A" w:rsidRDefault="00A77C7C" w:rsidP="6C6D70E9">
      <w:pPr>
        <w:pStyle w:val="LTU-Body10pt"/>
      </w:pPr>
      <w:r>
        <w:t>T</w:t>
      </w:r>
      <w:r w:rsidR="00442980">
        <w:t xml:space="preserve">he process for primary </w:t>
      </w:r>
      <w:r w:rsidR="00442980" w:rsidRPr="00C65323">
        <w:t xml:space="preserve">prevention is </w:t>
      </w:r>
      <w:r w:rsidR="00C65323">
        <w:t xml:space="preserve">circular, </w:t>
      </w:r>
      <w:r w:rsidR="00442980" w:rsidRPr="00C65323">
        <w:t>not linear</w:t>
      </w:r>
      <w:r w:rsidR="00C65323">
        <w:t xml:space="preserve">, </w:t>
      </w:r>
      <w:r w:rsidR="00442980">
        <w:t>and should consider other levels of prevention.</w:t>
      </w:r>
      <w:r w:rsidR="00442980" w:rsidRPr="006A192A">
        <w:t xml:space="preserve"> A</w:t>
      </w:r>
      <w:r w:rsidR="00805F25">
        <w:t>n expansion of each</w:t>
      </w:r>
      <w:r>
        <w:t xml:space="preserve"> </w:t>
      </w:r>
      <w:r w:rsidR="00C371B0">
        <w:t>tier</w:t>
      </w:r>
      <w:r w:rsidR="00805F25">
        <w:t xml:space="preserve"> of the Theory of Change is provided below in tables, followed by a</w:t>
      </w:r>
      <w:r w:rsidR="00442980" w:rsidRPr="006A192A">
        <w:t xml:space="preserve"> narrative summary</w:t>
      </w:r>
      <w:r w:rsidR="00805F25">
        <w:t xml:space="preserve">. The summary </w:t>
      </w:r>
      <w:r w:rsidR="15AF4608">
        <w:t>includes</w:t>
      </w:r>
      <w:r w:rsidR="00442980" w:rsidRPr="006A192A">
        <w:t xml:space="preserve"> a rationale for the </w:t>
      </w:r>
      <w:r w:rsidR="5CF421F7">
        <w:t>tier</w:t>
      </w:r>
      <w:r w:rsidR="00442980" w:rsidRPr="006A192A">
        <w:t>, a description of su</w:t>
      </w:r>
      <w:r w:rsidR="00442980">
        <w:t>ggested</w:t>
      </w:r>
      <w:r w:rsidR="00442980" w:rsidRPr="006A192A">
        <w:t xml:space="preserve"> activities or interventions, proposed outcomes</w:t>
      </w:r>
      <w:r w:rsidR="00C371B0">
        <w:t>,</w:t>
      </w:r>
      <w:r w:rsidR="00442980" w:rsidRPr="006A192A">
        <w:t xml:space="preserve"> and select examples of available evidence.</w:t>
      </w:r>
      <w:r w:rsidR="74CD2BE8">
        <w:t xml:space="preserve"> </w:t>
      </w:r>
      <w:r w:rsidR="45346B0A">
        <w:t>An additional flow</w:t>
      </w:r>
      <w:r w:rsidR="00C65323">
        <w:t>-</w:t>
      </w:r>
      <w:r w:rsidR="45346B0A">
        <w:t>chart or framework (</w:t>
      </w:r>
      <w:r w:rsidR="00D5468E">
        <w:t>page 25</w:t>
      </w:r>
      <w:r w:rsidR="45346B0A">
        <w:t>) outlines the flow of events</w:t>
      </w:r>
      <w:r w:rsidR="0079104B">
        <w:t xml:space="preserve"> </w:t>
      </w:r>
      <w:r w:rsidR="45346B0A">
        <w:t>from problem statement</w:t>
      </w:r>
      <w:r w:rsidR="73BBAC14">
        <w:t xml:space="preserve"> through</w:t>
      </w:r>
      <w:r w:rsidR="45346B0A">
        <w:t xml:space="preserve"> to impact. </w:t>
      </w:r>
    </w:p>
    <w:p w14:paraId="4CEB25F9" w14:textId="08C50925" w:rsidR="00245504" w:rsidRDefault="00245504" w:rsidP="00F72DA8">
      <w:pPr>
        <w:pStyle w:val="LTU-Body10pt"/>
      </w:pPr>
      <w:r>
        <w:t>Different prevention strategies are needed to respond to the continuum of contexts in which SVH occurs, from familial relationships</w:t>
      </w:r>
      <w:r w:rsidR="00720047">
        <w:t xml:space="preserve"> to </w:t>
      </w:r>
      <w:r>
        <w:t xml:space="preserve">intimate partners, education settings, </w:t>
      </w:r>
      <w:r w:rsidR="00C371B0">
        <w:t xml:space="preserve">and </w:t>
      </w:r>
      <w:r>
        <w:t xml:space="preserve">institutions </w:t>
      </w:r>
      <w:r w:rsidR="00720047">
        <w:t>as well as the broader social context of SVH</w:t>
      </w:r>
      <w:r>
        <w:t xml:space="preserve">. </w:t>
      </w:r>
      <w:r w:rsidR="00720047">
        <w:t xml:space="preserve">Primary prevention must focus on ending perpetration as well as challenging systems that </w:t>
      </w:r>
      <w:r w:rsidR="00F72DA8">
        <w:t>condone and create social conditions that justify perpetration. Primary prevention must w</w:t>
      </w:r>
      <w:r w:rsidR="00E1567F">
        <w:t>ork across the life course</w:t>
      </w:r>
      <w:r w:rsidR="6A83AA9F">
        <w:t>,</w:t>
      </w:r>
      <w:r w:rsidR="00E1567F">
        <w:t xml:space="preserve"> </w:t>
      </w:r>
      <w:r w:rsidR="258207CF">
        <w:t>with</w:t>
      </w:r>
      <w:r w:rsidR="00F72DA8">
        <w:t xml:space="preserve"> early </w:t>
      </w:r>
      <w:r w:rsidR="6648677B">
        <w:t>parenting</w:t>
      </w:r>
      <w:r w:rsidR="00101F1F">
        <w:t>/caregiving</w:t>
      </w:r>
      <w:r w:rsidR="6648677B">
        <w:t xml:space="preserve"> and</w:t>
      </w:r>
      <w:r w:rsidR="0FC207B8">
        <w:t xml:space="preserve"> </w:t>
      </w:r>
      <w:r w:rsidR="00F72DA8">
        <w:t xml:space="preserve">supportive relationships </w:t>
      </w:r>
      <w:r w:rsidR="0FC207B8">
        <w:t>a</w:t>
      </w:r>
      <w:r w:rsidR="27E42F43">
        <w:t>s</w:t>
      </w:r>
      <w:r w:rsidR="00F72DA8">
        <w:t xml:space="preserve"> the foundation.</w:t>
      </w:r>
      <w:r w:rsidR="2BC4CFE8">
        <w:t xml:space="preserve"> The earlier the investment, the greater the return</w:t>
      </w:r>
      <w:r w:rsidR="007F0234">
        <w:t xml:space="preserve"> </w:t>
      </w:r>
      <w:r w:rsidR="002F7B32">
        <w:fldChar w:fldCharType="begin" w:fldLock="1"/>
      </w:r>
      <w:r w:rsidR="006A329E">
        <w:instrText>ADDIN CSL_CITATION {"citationItems":[{"id":"ITEM-1","itemData":{"DOI":"10.1016/j.ehb.2009.01.002","ISSN":"1570-677X","author":[{"dropping-particle":"","family":"Doyle","given":"Orla","non-dropping-particle":"","parse-names":false,"suffix":""},{"dropping-particle":"","family":"Harmon","given":"Colm P","non-dropping-particle":"","parse-names":false,"suffix":""},{"dropping-particle":"","family":"Heckman","given":"James J","non-dropping-particle":"","parse-names":false,"suffix":""},{"dropping-particle":"","family":"Tremblay","given":"Richard E","non-dropping-particle":"","parse-names":false,"suffix":""}],"collection-title":"Economics &amp; Human Biology","container-title":"Economics and human biology","genre":"article","id":"ITEM-1","issue":"1","issued":{"date-parts":[["2009"]]},"language":"eng","page":"1-6","publisher":"Elsevier B.V","publisher-place":"Netherlands","title":"Investing in early human development: Timing and economic efficiency","type":"article-journal","volume":"7"},"uris":["http://www.mendeley.com/documents/?uuid=878ddaf9-82cd-343c-898c-28d0e9ae8a81"]}],"mendeley":{"formattedCitation":"(Doyle et al., 2009)","plainTextFormattedCitation":"(Doyle et al., 2009)","previouslyFormattedCitation":"(Doyle et al., 2009)"},"properties":{"noteIndex":0},"schema":"https://github.com/citation-style-language/schema/raw/master/csl-citation.json"}</w:instrText>
      </w:r>
      <w:r w:rsidR="002F7B32">
        <w:fldChar w:fldCharType="separate"/>
      </w:r>
      <w:r w:rsidR="002F7B32" w:rsidRPr="002F7B32">
        <w:rPr>
          <w:noProof/>
        </w:rPr>
        <w:t>(Doyle et al., 2009)</w:t>
      </w:r>
      <w:r w:rsidR="002F7B32">
        <w:fldChar w:fldCharType="end"/>
      </w:r>
      <w:r w:rsidR="2BC4CFE8">
        <w:t>.</w:t>
      </w:r>
    </w:p>
    <w:p w14:paraId="27DB7FAF" w14:textId="0D723136" w:rsidR="005210E4" w:rsidRPr="005210E4" w:rsidRDefault="005210E4" w:rsidP="00BF773C">
      <w:pPr>
        <w:pStyle w:val="LTU-Subhead4"/>
      </w:pPr>
      <w:r w:rsidRPr="005210E4">
        <w:t>Intervention Evidence Legend</w:t>
      </w:r>
    </w:p>
    <w:p w14:paraId="39F796CF" w14:textId="1AC9047C" w:rsidR="005210E4" w:rsidRDefault="005210E4" w:rsidP="00F72DA8">
      <w:pPr>
        <w:pStyle w:val="LTU-Body10pt"/>
      </w:pPr>
      <w:r>
        <w:rPr>
          <w:noProof/>
          <w:lang w:eastAsia="en-AU"/>
        </w:rPr>
        <w:drawing>
          <wp:inline distT="0" distB="0" distL="0" distR="0" wp14:anchorId="2CBDCBBC" wp14:editId="64DB7060">
            <wp:extent cx="1830592" cy="1856056"/>
            <wp:effectExtent l="0" t="0" r="0" b="0"/>
            <wp:docPr id="11" name="Picture 11" descr="Intervention Evidence Legend&#10;Circle = more evidence needed&#10;Triangle = conflicting&#10;Square = promising&#10;Star = eff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ntervention Evidence Legend&#10;Circle = more evidence needed&#10;Triangle = conflicting&#10;Square = promising&#10;Star = effective"/>
                    <pic:cNvPicPr/>
                  </pic:nvPicPr>
                  <pic:blipFill>
                    <a:blip r:embed="rId25">
                      <a:extLst>
                        <a:ext uri="{28A0092B-C50C-407E-A947-70E740481C1C}">
                          <a14:useLocalDpi xmlns:a14="http://schemas.microsoft.com/office/drawing/2010/main" val="0"/>
                        </a:ext>
                      </a:extLst>
                    </a:blip>
                    <a:stretch>
                      <a:fillRect/>
                    </a:stretch>
                  </pic:blipFill>
                  <pic:spPr>
                    <a:xfrm>
                      <a:off x="0" y="0"/>
                      <a:ext cx="1871332" cy="1897363"/>
                    </a:xfrm>
                    <a:prstGeom prst="rect">
                      <a:avLst/>
                    </a:prstGeom>
                  </pic:spPr>
                </pic:pic>
              </a:graphicData>
            </a:graphic>
          </wp:inline>
        </w:drawing>
      </w:r>
    </w:p>
    <w:p w14:paraId="1BF5A5EC" w14:textId="77777777" w:rsidR="00E1567F" w:rsidRDefault="00E1567F" w:rsidP="0014553E"/>
    <w:p w14:paraId="76585104" w14:textId="610BECA7" w:rsidR="00024A77" w:rsidRDefault="00024A77" w:rsidP="0014553E">
      <w:pPr>
        <w:sectPr w:rsidR="00024A77" w:rsidSect="00451DAC">
          <w:pgSz w:w="11906" w:h="16838" w:code="9"/>
          <w:pgMar w:top="2240" w:right="709" w:bottom="1276" w:left="1418" w:header="709" w:footer="624" w:gutter="0"/>
          <w:cols w:space="708"/>
          <w:docGrid w:linePitch="360"/>
        </w:sectPr>
      </w:pPr>
    </w:p>
    <w:p w14:paraId="3376F2DE" w14:textId="165EEC6D" w:rsidR="00983B4E" w:rsidRDefault="00983B4E" w:rsidP="00983B4E">
      <w:pPr>
        <w:pStyle w:val="DSSBody"/>
      </w:pPr>
    </w:p>
    <w:p w14:paraId="57C13E4B" w14:textId="49EDC33D" w:rsidR="00983B4E" w:rsidRDefault="007A4E07" w:rsidP="00983B4E">
      <w:pPr>
        <w:pStyle w:val="DSSBody"/>
        <w:sectPr w:rsidR="00983B4E" w:rsidSect="007A4E07">
          <w:pgSz w:w="16838" w:h="11906" w:orient="landscape" w:code="9"/>
          <w:pgMar w:top="704" w:right="2240" w:bottom="709" w:left="1276" w:header="709" w:footer="624" w:gutter="0"/>
          <w:cols w:space="708"/>
          <w:docGrid w:linePitch="360"/>
        </w:sectPr>
      </w:pPr>
      <w:r>
        <w:rPr>
          <w:noProof/>
          <w:lang w:val="en-AU" w:eastAsia="en-AU"/>
        </w:rPr>
        <mc:AlternateContent>
          <mc:Choice Requires="wps">
            <w:drawing>
              <wp:anchor distT="0" distB="0" distL="114300" distR="114300" simplePos="0" relativeHeight="251661338" behindDoc="0" locked="0" layoutInCell="1" allowOverlap="1" wp14:anchorId="013EA861" wp14:editId="302F75D1">
                <wp:simplePos x="0" y="0"/>
                <wp:positionH relativeFrom="column">
                  <wp:posOffset>-24130</wp:posOffset>
                </wp:positionH>
                <wp:positionV relativeFrom="paragraph">
                  <wp:posOffset>5701665</wp:posOffset>
                </wp:positionV>
                <wp:extent cx="9550400" cy="367030"/>
                <wp:effectExtent l="0" t="0" r="0" b="0"/>
                <wp:wrapNone/>
                <wp:docPr id="12" name="Text Box 12" descr="Figure 2: Early supportive relationships"/>
                <wp:cNvGraphicFramePr/>
                <a:graphic xmlns:a="http://schemas.openxmlformats.org/drawingml/2006/main">
                  <a:graphicData uri="http://schemas.microsoft.com/office/word/2010/wordprocessingShape">
                    <wps:wsp>
                      <wps:cNvSpPr txBox="1"/>
                      <wps:spPr>
                        <a:xfrm>
                          <a:off x="0" y="0"/>
                          <a:ext cx="9550400" cy="367030"/>
                        </a:xfrm>
                        <a:prstGeom prst="rect">
                          <a:avLst/>
                        </a:prstGeom>
                        <a:solidFill>
                          <a:prstClr val="white"/>
                        </a:solidFill>
                        <a:ln>
                          <a:noFill/>
                        </a:ln>
                      </wps:spPr>
                      <wps:txbx>
                        <w:txbxContent>
                          <w:p w14:paraId="4D2E1549" w14:textId="6880FB14" w:rsidR="002423D7" w:rsidRPr="00D173F1" w:rsidRDefault="002423D7" w:rsidP="00D173F1">
                            <w:pPr>
                              <w:pStyle w:val="Caption"/>
                            </w:pPr>
                            <w:bookmarkStart w:id="52" w:name="_Toc65156129"/>
                            <w:r w:rsidRPr="00D173F1">
                              <w:t xml:space="preserve">Figure </w:t>
                            </w:r>
                            <w:r>
                              <w:t>2</w:t>
                            </w:r>
                            <w:r w:rsidR="004074D4">
                              <w:t>:</w:t>
                            </w:r>
                            <w:r w:rsidRPr="00D173F1">
                              <w:t xml:space="preserve"> Early supportive relationships</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3EA861" id="Text Box 12" o:spid="_x0000_s1027" type="#_x0000_t202" alt="Figure 2: Early supportive relationships" style="position:absolute;margin-left:-1.9pt;margin-top:448.95pt;width:752pt;height:28.9pt;z-index:2516613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" stroked="f">
                <v:textbox style="mso-fit-shape-to-text:t" inset="0,0,0,0">
                  <w:txbxContent>
                    <w:p w14:paraId="4D2E1549" w14:textId="6880FB14" w:rsidR="002423D7" w:rsidRPr="00D173F1" w:rsidRDefault="002423D7" w:rsidP="00D173F1">
                      <w:pPr>
                        <w:pStyle w:val="Caption"/>
                      </w:pPr>
                      <w:bookmarkStart w:id="53" w:name="_Toc65156129"/>
                      <w:r w:rsidRPr="00D173F1">
                        <w:t xml:space="preserve">Figure </w:t>
                      </w:r>
                      <w:r>
                        <w:t>2</w:t>
                      </w:r>
                      <w:r w:rsidR="004074D4">
                        <w:t>:</w:t>
                      </w:r>
                      <w:r w:rsidRPr="00D173F1">
                        <w:t xml:space="preserve"> Early supportive relationships</w:t>
                      </w:r>
                      <w:bookmarkEnd w:id="53"/>
                    </w:p>
                  </w:txbxContent>
                </v:textbox>
              </v:shape>
            </w:pict>
          </mc:Fallback>
        </mc:AlternateContent>
      </w:r>
      <w:r w:rsidR="00317582" w:rsidRPr="00317582">
        <w:t xml:space="preserve"> </w:t>
      </w:r>
      <w:r>
        <w:rPr>
          <w:noProof/>
          <w:lang w:val="en-AU" w:eastAsia="en-AU"/>
        </w:rPr>
        <w:drawing>
          <wp:anchor distT="0" distB="0" distL="114300" distR="114300" simplePos="0" relativeHeight="251667482" behindDoc="0" locked="0" layoutInCell="1" allowOverlap="1" wp14:anchorId="5D2FD691" wp14:editId="4A42B236">
            <wp:simplePos x="0" y="0"/>
            <wp:positionH relativeFrom="column">
              <wp:posOffset>0</wp:posOffset>
            </wp:positionH>
            <wp:positionV relativeFrom="paragraph">
              <wp:posOffset>295275</wp:posOffset>
            </wp:positionV>
            <wp:extent cx="8833485" cy="5321935"/>
            <wp:effectExtent l="0" t="0" r="5715" b="0"/>
            <wp:wrapNone/>
            <wp:docPr id="30" name="Picture 30" descr="Figure 2: Early Supportive Relationships&#10;3 columns headed: Activities/Interventions, Short-term Outcomes, Long-term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2: Early Supportive Relationships&#10;3 columns headed: Activities/Interventions, Short-term Outcomes, Long-term Outcomes"/>
                    <pic:cNvPicPr/>
                  </pic:nvPicPr>
                  <pic:blipFill>
                    <a:blip r:embed="rId26">
                      <a:extLst>
                        <a:ext uri="{28A0092B-C50C-407E-A947-70E740481C1C}">
                          <a14:useLocalDpi xmlns:a14="http://schemas.microsoft.com/office/drawing/2010/main" val="0"/>
                        </a:ext>
                      </a:extLst>
                    </a:blip>
                    <a:stretch>
                      <a:fillRect/>
                    </a:stretch>
                  </pic:blipFill>
                  <pic:spPr>
                    <a:xfrm>
                      <a:off x="0" y="0"/>
                      <a:ext cx="8833485" cy="5321935"/>
                    </a:xfrm>
                    <a:prstGeom prst="rect">
                      <a:avLst/>
                    </a:prstGeom>
                  </pic:spPr>
                </pic:pic>
              </a:graphicData>
            </a:graphic>
            <wp14:sizeRelH relativeFrom="page">
              <wp14:pctWidth>0</wp14:pctWidth>
            </wp14:sizeRelH>
            <wp14:sizeRelV relativeFrom="page">
              <wp14:pctHeight>0</wp14:pctHeight>
            </wp14:sizeRelV>
          </wp:anchor>
        </w:drawing>
      </w:r>
    </w:p>
    <w:p w14:paraId="1C8FEE7E" w14:textId="7C9ECED4" w:rsidR="00265260" w:rsidRPr="004074D4" w:rsidRDefault="00607F48" w:rsidP="00A429E0">
      <w:pPr>
        <w:pStyle w:val="LTU-Subhead1"/>
      </w:pPr>
      <w:bookmarkStart w:id="53" w:name="_Toc67035850"/>
      <w:r w:rsidRPr="004074D4">
        <w:lastRenderedPageBreak/>
        <w:t xml:space="preserve">Promoting Early Supportive </w:t>
      </w:r>
      <w:r w:rsidRPr="00A429E0">
        <w:t>Relationships</w:t>
      </w:r>
      <w:bookmarkEnd w:id="53"/>
    </w:p>
    <w:p w14:paraId="7BD23A09" w14:textId="517916C2" w:rsidR="00227DC8" w:rsidRPr="00A429E0" w:rsidRDefault="00607F48" w:rsidP="00A429E0">
      <w:pPr>
        <w:pStyle w:val="LTU-Subhead2"/>
      </w:pPr>
      <w:r w:rsidRPr="004074D4">
        <w:t>Rationale</w:t>
      </w:r>
    </w:p>
    <w:p w14:paraId="523324FC" w14:textId="534A1EE3" w:rsidR="00607F48" w:rsidRPr="00743E96" w:rsidRDefault="00607F48" w:rsidP="00013B42">
      <w:pPr>
        <w:pStyle w:val="LTU-Body10pt"/>
        <w:ind w:right="423"/>
        <w:rPr>
          <w:rStyle w:val="normaltextrun"/>
          <w:rFonts w:ascii="Roboto" w:hAnsi="Roboto"/>
        </w:rPr>
      </w:pPr>
      <w:r w:rsidRPr="00743E96">
        <w:rPr>
          <w:rStyle w:val="normaltextrun"/>
        </w:rPr>
        <w:t xml:space="preserve">Sexual violence and harassment start early in life, with one in five Australian girls and one in </w:t>
      </w:r>
      <w:r w:rsidR="00A71DFD">
        <w:rPr>
          <w:rStyle w:val="normaltextrun"/>
        </w:rPr>
        <w:t>25</w:t>
      </w:r>
      <w:r w:rsidRPr="00743E96">
        <w:rPr>
          <w:rStyle w:val="normaltextrun"/>
        </w:rPr>
        <w:t xml:space="preserve"> boys sexually abused before they turn 15 years </w:t>
      </w:r>
      <w:r w:rsidRPr="00743E96">
        <w:rPr>
          <w:rStyle w:val="normaltextrun"/>
        </w:rPr>
        <w:fldChar w:fldCharType="begin" w:fldLock="1"/>
      </w:r>
      <w:r w:rsidR="008836A9">
        <w:rPr>
          <w:rStyle w:val="normaltextrun"/>
        </w:rPr>
        <w:instrText>ADDIN CSL_CITATION {"citationItems":[{"id":"ITEM-1","itemData":{"author":[{"dropping-particle":"","family":"Australian Bureau of Statistics","given":"","non-dropping-particle":"","parse-names":false,"suffix":""}],"id":"ITEM-1","issued":{"date-parts":[["2017"]]},"publisher":"ABS","publisher-place":"Canberra","title":"Personal safety survey","type":"webpage"},"uris":["http://www.mendeley.com/documents/?uuid=172a3764-7791-3e94-85a5-38a944b655c4"]}],"mendeley":{"formattedCitation":"(Australian Bureau of Statistics, 2017)","plainTextFormattedCitation":"(Australian Bureau of Statistics, 2017)","previouslyFormattedCitation":"(Australian Bureau of Statistics, 2017)"},"properties":{"noteIndex":0},"schema":"https://github.com/citation-style-language/schema/raw/master/csl-citation.json"}</w:instrText>
      </w:r>
      <w:r w:rsidRPr="00743E96">
        <w:rPr>
          <w:rStyle w:val="normaltextrun"/>
        </w:rPr>
        <w:fldChar w:fldCharType="separate"/>
      </w:r>
      <w:r w:rsidR="00180FF0" w:rsidRPr="00180FF0">
        <w:rPr>
          <w:rStyle w:val="normaltextrun"/>
          <w:noProof/>
        </w:rPr>
        <w:t>(Australian Bureau of Statistics, 2017)</w:t>
      </w:r>
      <w:r w:rsidRPr="00743E96">
        <w:rPr>
          <w:rStyle w:val="normaltextrun"/>
        </w:rPr>
        <w:fldChar w:fldCharType="end"/>
      </w:r>
      <w:r w:rsidRPr="00743E96">
        <w:rPr>
          <w:rStyle w:val="normaltextrun"/>
        </w:rPr>
        <w:t>. Police reports of child sexual assault in those aged 0</w:t>
      </w:r>
      <w:r w:rsidR="00A71DFD">
        <w:rPr>
          <w:rStyle w:val="normaltextrun"/>
        </w:rPr>
        <w:t>–</w:t>
      </w:r>
      <w:r w:rsidRPr="00743E96">
        <w:rPr>
          <w:rStyle w:val="normaltextrun"/>
        </w:rPr>
        <w:t xml:space="preserve">14 are twice that of people 15 years and over </w:t>
      </w:r>
      <w:r w:rsidRPr="00743E96">
        <w:rPr>
          <w:rStyle w:val="normaltextrun"/>
        </w:rPr>
        <w:fldChar w:fldCharType="begin" w:fldLock="1"/>
      </w:r>
      <w:r w:rsidR="00E75E23">
        <w:rPr>
          <w:rStyle w:val="normaltextrun"/>
        </w:rPr>
        <w:instrText>ADDIN CSL_CITATION {"citationItems":[{"id":"ITEM-1","itemData":{"author":[{"dropping-particle":"","family":"Australian Institute of Health and Welfare","given":"","non-dropping-particle":"","parse-names":false,"suffix":""}],"id":"ITEM-1","issued":{"date-parts":[["2020"]]},"publisher":"AIHW","publisher-place":"Canberra","title":"Sexual assault in Australia","type":"report"},"uris":["http://www.mendeley.com/documents/?uuid=034ba693-a12b-38b6-af92-212d46150e24"]}],"mendeley":{"formattedCitation":"(Australian Institute of Health and Welfare, 2020b)","manualFormatting":"(AIHW, 2020b)","plainTextFormattedCitation":"(Australian Institute of Health and Welfare, 2020b)","previouslyFormattedCitation":"(Australian Institute of Health and Welfare, 2020b)"},"properties":{"noteIndex":0},"schema":"https://github.com/citation-style-language/schema/raw/master/csl-citation.json"}</w:instrText>
      </w:r>
      <w:r w:rsidRPr="00743E96">
        <w:rPr>
          <w:rStyle w:val="normaltextrun"/>
        </w:rPr>
        <w:fldChar w:fldCharType="separate"/>
      </w:r>
      <w:r w:rsidRPr="00743E96">
        <w:rPr>
          <w:rStyle w:val="normaltextrun"/>
          <w:noProof/>
        </w:rPr>
        <w:t>(A</w:t>
      </w:r>
      <w:r w:rsidR="00E75E23">
        <w:rPr>
          <w:rStyle w:val="normaltextrun"/>
          <w:noProof/>
        </w:rPr>
        <w:t>IHW</w:t>
      </w:r>
      <w:r w:rsidRPr="00743E96">
        <w:rPr>
          <w:rStyle w:val="normaltextrun"/>
          <w:noProof/>
        </w:rPr>
        <w:t>, 2020b)</w:t>
      </w:r>
      <w:r w:rsidRPr="00743E96">
        <w:rPr>
          <w:rStyle w:val="normaltextrun"/>
        </w:rPr>
        <w:fldChar w:fldCharType="end"/>
      </w:r>
      <w:r w:rsidRPr="00743E96">
        <w:rPr>
          <w:rStyle w:val="normaltextrun"/>
        </w:rPr>
        <w:t xml:space="preserve">. Risk of child sex abuse is greater if the child is exposed to domestic violence, with most sexual abuse happening in the home, by someone they know </w:t>
      </w:r>
      <w:r w:rsidR="00E75E23">
        <w:rPr>
          <w:rStyle w:val="normaltextrun"/>
        </w:rPr>
        <w:t>(A</w:t>
      </w:r>
      <w:r w:rsidRPr="00743E96">
        <w:rPr>
          <w:rStyle w:val="normaltextrun"/>
        </w:rPr>
        <w:fldChar w:fldCharType="begin" w:fldLock="1"/>
      </w:r>
      <w:r w:rsidR="00E75E23">
        <w:rPr>
          <w:rStyle w:val="normaltextrun"/>
        </w:rPr>
        <w:instrText>ADDIN CSL_CITATION {"citationItems":[{"id":"ITEM-1","itemData":{"author":[{"dropping-particle":"","family":"Australian Institute of Health and Welfare","given":"","non-dropping-particle":"","parse-names":false,"suffix":""}],"id":"ITEM-1","issue":"Cat. no: CWS69","issued":{"date-parts":[["2020"]]},"publisher-place":"Canberra","title":"Australia's children","type":"article-journal"},"uris":["http://www.mendeley.com/documents/?uuid=bf4e383c-b181-44a1-8ca5-9b9e87a6831f"]}],"mendeley":{"formattedCitation":"(Australian Institute of Health and Welfare, 2020a)","manualFormatting":"IHW, 2020a)","plainTextFormattedCitation":"(Australian Institute of Health and Welfare, 2020a)","previouslyFormattedCitation":"(Australian Institute of Health and Welfare, 2020a)"},"properties":{"noteIndex":0},"schema":"https://github.com/citation-style-language/schema/raw/master/csl-citation.json"}</w:instrText>
      </w:r>
      <w:r w:rsidRPr="00743E96">
        <w:rPr>
          <w:rStyle w:val="normaltextrun"/>
        </w:rPr>
        <w:fldChar w:fldCharType="separate"/>
      </w:r>
      <w:r w:rsidR="00E75E23">
        <w:rPr>
          <w:rStyle w:val="normaltextrun"/>
          <w:noProof/>
        </w:rPr>
        <w:t>IHW</w:t>
      </w:r>
      <w:r w:rsidRPr="00743E96">
        <w:rPr>
          <w:rStyle w:val="normaltextrun"/>
          <w:noProof/>
        </w:rPr>
        <w:t>, 2020a)</w:t>
      </w:r>
      <w:r w:rsidRPr="00743E96">
        <w:rPr>
          <w:rStyle w:val="normaltextrun"/>
        </w:rPr>
        <w:fldChar w:fldCharType="end"/>
      </w:r>
      <w:r w:rsidRPr="00743E96">
        <w:rPr>
          <w:rStyle w:val="normaltextrun"/>
        </w:rPr>
        <w:t>.</w:t>
      </w:r>
      <w:r w:rsidR="00E6747F">
        <w:rPr>
          <w:rStyle w:val="normaltextrun"/>
        </w:rPr>
        <w:t xml:space="preserve"> Those who </w:t>
      </w:r>
      <w:r w:rsidR="008157E9">
        <w:rPr>
          <w:rStyle w:val="normaltextrun"/>
        </w:rPr>
        <w:t>are exposed to</w:t>
      </w:r>
      <w:r w:rsidRPr="00743E96">
        <w:rPr>
          <w:rStyle w:val="normaltextrun"/>
        </w:rPr>
        <w:t xml:space="preserve"> </w:t>
      </w:r>
      <w:r w:rsidR="00A644D4">
        <w:rPr>
          <w:rStyle w:val="normaltextrun"/>
        </w:rPr>
        <w:t xml:space="preserve">adverse </w:t>
      </w:r>
      <w:r w:rsidR="008157E9">
        <w:rPr>
          <w:rStyle w:val="normaltextrun"/>
        </w:rPr>
        <w:t xml:space="preserve">childhood </w:t>
      </w:r>
      <w:r w:rsidR="00A644D4">
        <w:rPr>
          <w:rStyle w:val="normaltextrun"/>
        </w:rPr>
        <w:t xml:space="preserve">experiences </w:t>
      </w:r>
      <w:r w:rsidR="00E6747F">
        <w:rPr>
          <w:rStyle w:val="normaltextrun"/>
        </w:rPr>
        <w:t xml:space="preserve">are at heightened risk of </w:t>
      </w:r>
      <w:r w:rsidR="008157E9">
        <w:rPr>
          <w:rStyle w:val="normaltextrun"/>
        </w:rPr>
        <w:t xml:space="preserve">sexual violence </w:t>
      </w:r>
      <w:r w:rsidR="00A71DFD">
        <w:rPr>
          <w:rStyle w:val="normaltextrun"/>
        </w:rPr>
        <w:t xml:space="preserve">revictimisation </w:t>
      </w:r>
      <w:r w:rsidR="00C120DD">
        <w:rPr>
          <w:rStyle w:val="normaltextrun"/>
        </w:rPr>
        <w:fldChar w:fldCharType="begin" w:fldLock="1"/>
      </w:r>
      <w:r w:rsidR="00264C77">
        <w:rPr>
          <w:rStyle w:val="normaltextrun"/>
        </w:rPr>
        <w:instrText>ADDIN CSL_CITATION {"citationItems":[{"id":"ITEM-1","itemData":{"DOI":"10.1016/j.chiabu.2015.08.017","ISSN":"18737757","PMID":"26386753","abstract":"Understanding the link between adverse childhood experiences (ACEs) and sexual victimization (SV) in adulthood may provide important information about the level of risk for adult SV and sexual re-victimization among childhood sexual abuse (CSA) survivors. In the present paper, we explore the relationship between ACEs, including CSA, and SV in adulthood. Data from the CDC-Kaiser ACE Study were used to examine the effect of experiences of early adversity on adult SV. Adult HMO members (n= 7,272) undergoing a routine health exam provided detailed information about ACEs that occurred at age 18 or younger and their experiences of SV in adulthood. Analyses revealed that as ACE score increased, so did risk of experiencing SV in adulthood. Each of the ACE variables was significantly associated with adult SV, with CSA being the strongest predictor of adult SV. In addition, for those who reported CSA, there was a cumulative increase in adult SV risk with each additional ACE experienced. As such, early adversity is a risk factor for adult SV. In particular, CSA is a significant risk factor for sexual re-victimization in adulthood, and additional early adversities experienced by CSA survivors may heighten adult SV risk above and beyond the risk associated with CSA alone. Given the interconnectedness among various experiences of early adversity, adult SV prevention actions must consider how other violence-related and non-violence-related traumatic experiences may exacerbate the risk conferred by CSA on subsequent victimization.","author":[{"dropping-particle":"","family":"Ports","given":"Katie A.","non-dropping-particle":"","parse-names":false,"suffix":""},{"dropping-particle":"","family":"Ford","given":"Derek C.","non-dropping-particle":"","parse-names":false,"suffix":""},{"dropping-particle":"","family":"Merrick","given":"Melissa T.","non-dropping-particle":"","parse-names":false,"suffix":""}],"container-title":"Child Abuse and Neglect","id":"ITEM-1","issued":{"date-parts":[["2016","1","1"]]},"page":"313-322","publisher":"Elsevier Ltd","title":"Adverse childhood experiences and sexual victimization in adulthood","type":"article-journal","volume":"51"},"uris":["http://www.mendeley.com/documents/?uuid=68df952b-8bed-39cf-ba08-e695bd8be2d5"]}],"mendeley":{"formattedCitation":"(Ports et al., 2016)","plainTextFormattedCitation":"(Ports et al., 2016)","previouslyFormattedCitation":"(Ports et al., 2016)"},"properties":{"noteIndex":0},"schema":"https://github.com/citation-style-language/schema/raw/master/csl-citation.json"}</w:instrText>
      </w:r>
      <w:r w:rsidR="00C120DD">
        <w:rPr>
          <w:rStyle w:val="normaltextrun"/>
        </w:rPr>
        <w:fldChar w:fldCharType="separate"/>
      </w:r>
      <w:r w:rsidR="00C120DD" w:rsidRPr="00C120DD">
        <w:rPr>
          <w:rStyle w:val="normaltextrun"/>
          <w:noProof/>
        </w:rPr>
        <w:t>(Ports et al., 2016)</w:t>
      </w:r>
      <w:r w:rsidR="00C120DD">
        <w:rPr>
          <w:rStyle w:val="normaltextrun"/>
        </w:rPr>
        <w:fldChar w:fldCharType="end"/>
      </w:r>
      <w:r w:rsidR="006C7E5E">
        <w:rPr>
          <w:rStyle w:val="normaltextrun"/>
        </w:rPr>
        <w:t>.</w:t>
      </w:r>
      <w:r w:rsidR="00E6747F">
        <w:rPr>
          <w:rStyle w:val="normaltextrun"/>
        </w:rPr>
        <w:t xml:space="preserve"> </w:t>
      </w:r>
      <w:r w:rsidR="0043570C">
        <w:rPr>
          <w:rStyle w:val="normaltextrun"/>
        </w:rPr>
        <w:t>P</w:t>
      </w:r>
      <w:r w:rsidRPr="00743E96">
        <w:rPr>
          <w:rStyle w:val="normaltextrun"/>
        </w:rPr>
        <w:t xml:space="preserve">reventing this violence means early childhood relationships with parents, caregivers and other family members need to be supported. In the early years, conditions that impact on parenting affect children’s ability to reach their full potential and are the major determinants of early child health and development </w:t>
      </w:r>
      <w:r w:rsidRPr="00743E96">
        <w:rPr>
          <w:rStyle w:val="normaltextrun"/>
        </w:rPr>
        <w:fldChar w:fldCharType="begin" w:fldLock="1"/>
      </w:r>
      <w:r w:rsidR="00443BD1">
        <w:rPr>
          <w:rStyle w:val="normaltextrun"/>
        </w:rPr>
        <w:instrText>ADDIN CSL_CITATION {"citationItems":[{"id":"ITEM-1","itemData":{"DOI":"10.1016/S0140-6736(15)00150-6","ISSN":"1474547X","PMID":"26364261","author":[{"dropping-particle":"","family":"Marmot","given":"Michael","non-dropping-particle":"","parse-names":false,"suffix":""}],"container-title":"The Lancet","id":"ITEM-1","issue":"10011","issued":{"date-parts":[["2015","12","1"]]},"page":"2442-2444","publisher":"Lancet Publishing Group","title":"The health gap: The challenge of an unequal world","type":"article-journal","volume":"386"},"uris":["http://www.mendeley.com/documents/?uuid=6b0a4642-8ec6-3520-9eaa-dbfe0dbc19e4"]}],"mendeley":{"formattedCitation":"(Marmot, 2015)","plainTextFormattedCitation":"(Marmot, 2015)","previouslyFormattedCitation":"(Marmot, 2015)"},"properties":{"noteIndex":0},"schema":"https://github.com/citation-style-language/schema/raw/master/csl-citation.json"}</w:instrText>
      </w:r>
      <w:r w:rsidRPr="00743E96">
        <w:rPr>
          <w:rStyle w:val="normaltextrun"/>
        </w:rPr>
        <w:fldChar w:fldCharType="separate"/>
      </w:r>
      <w:r w:rsidRPr="00743E96">
        <w:rPr>
          <w:rStyle w:val="normaltextrun"/>
          <w:noProof/>
        </w:rPr>
        <w:t>(Marmot, 2015)</w:t>
      </w:r>
      <w:r w:rsidRPr="00743E96">
        <w:rPr>
          <w:rStyle w:val="normaltextrun"/>
        </w:rPr>
        <w:fldChar w:fldCharType="end"/>
      </w:r>
      <w:r w:rsidRPr="00743E96">
        <w:rPr>
          <w:rStyle w:val="normaltextrun"/>
        </w:rPr>
        <w:t>. Understanding protective factors and the conditions in which people live, work and play</w:t>
      </w:r>
      <w:r w:rsidR="00A71DFD">
        <w:rPr>
          <w:rStyle w:val="normaltextrun"/>
        </w:rPr>
        <w:t>—</w:t>
      </w:r>
      <w:r w:rsidRPr="00743E96">
        <w:rPr>
          <w:rStyle w:val="normaltextrun"/>
        </w:rPr>
        <w:t xml:space="preserve">termed the </w:t>
      </w:r>
      <w:r w:rsidR="00B32F2B">
        <w:rPr>
          <w:rStyle w:val="normaltextrun"/>
        </w:rPr>
        <w:t>“</w:t>
      </w:r>
      <w:r w:rsidRPr="00743E96">
        <w:rPr>
          <w:rStyle w:val="normaltextrun"/>
        </w:rPr>
        <w:t>social determinants of health</w:t>
      </w:r>
      <w:r w:rsidR="00B32F2B">
        <w:rPr>
          <w:rStyle w:val="normaltextrun"/>
        </w:rPr>
        <w:t>”</w:t>
      </w:r>
      <w:r w:rsidRPr="00743E96">
        <w:rPr>
          <w:rStyle w:val="normaltextrun"/>
        </w:rPr>
        <w:t xml:space="preserve"> (employment, education, housing)</w:t>
      </w:r>
      <w:r w:rsidR="00A71DFD">
        <w:rPr>
          <w:rStyle w:val="normaltextrun"/>
        </w:rPr>
        <w:t>—</w:t>
      </w:r>
      <w:r w:rsidRPr="00743E96">
        <w:rPr>
          <w:rStyle w:val="normaltextrun"/>
        </w:rPr>
        <w:t>can help inform decision</w:t>
      </w:r>
      <w:r w:rsidR="00A71DFD">
        <w:rPr>
          <w:rStyle w:val="normaltextrun"/>
        </w:rPr>
        <w:t>-</w:t>
      </w:r>
      <w:r w:rsidRPr="00743E96">
        <w:rPr>
          <w:rStyle w:val="normaltextrun"/>
        </w:rPr>
        <w:t xml:space="preserve">making and support pro-active practices </w:t>
      </w:r>
      <w:r w:rsidRPr="11EF5CCA">
        <w:rPr>
          <w:rStyle w:val="normaltextrun"/>
        </w:rPr>
        <w:t>like navigating personal safety</w:t>
      </w:r>
      <w:r w:rsidRPr="00743E96">
        <w:rPr>
          <w:rStyle w:val="normaltextrun"/>
        </w:rPr>
        <w:t xml:space="preserve"> and strengthening supportive relationships and environments </w:t>
      </w:r>
      <w:r w:rsidRPr="00743E96">
        <w:rPr>
          <w:rStyle w:val="normaltextrun"/>
        </w:rPr>
        <w:fldChar w:fldCharType="begin" w:fldLock="1"/>
      </w:r>
      <w:r w:rsidRPr="00743E96">
        <w:rPr>
          <w:rStyle w:val="normaltextrun"/>
        </w:rPr>
        <w:instrText>ADDIN CSL_CITATION {"citationItems":[{"id":"ITEM-1","itemData":{"author":[{"dropping-particle":"","family":"Dills","given":"Jenny","non-dropping-particle":"","parse-names":false,"suffix":""},{"dropping-particle":"","family":"Jones","given":"Kathryn","non-dropping-particle":"","parse-names":false,"suffix":""},{"dropping-particle":"","family":"Brown","given":"Pamela","non-dropping-particle":"","parse-names":false,"suffix":""}],"id":"ITEM-1","issued":{"date-parts":[["2019"]]},"publisher":"National Center for Injury Prevention and Control, Centers for Disease Conrol and Prevention","publisher-place":"Atlanta","title":"Continuing the dialogue: Learning from the past and looking to the future of intimate partner violence and sexual violence prevention","type":"book"},"uris":["http://www.mendeley.com/documents/?uuid=5d74b6af-fc26-3fcb-8f92-3b947cfdd900"]}],"mendeley":{"formattedCitation":"(Dills et al., 2019)","plainTextFormattedCitation":"(Dills et al., 2019)","previouslyFormattedCitation":"(Dills et al., 2019)"},"properties":{"noteIndex":0},"schema":"https://github.com/citation-style-language/schema/raw/master/csl-citation.json"}</w:instrText>
      </w:r>
      <w:r w:rsidRPr="00743E96">
        <w:rPr>
          <w:rStyle w:val="normaltextrun"/>
        </w:rPr>
        <w:fldChar w:fldCharType="separate"/>
      </w:r>
      <w:r w:rsidRPr="00743E96">
        <w:rPr>
          <w:rStyle w:val="normaltextrun"/>
          <w:noProof/>
        </w:rPr>
        <w:t>(Dills et al., 2019)</w:t>
      </w:r>
      <w:r w:rsidRPr="00743E96">
        <w:rPr>
          <w:rStyle w:val="normaltextrun"/>
        </w:rPr>
        <w:fldChar w:fldCharType="end"/>
      </w:r>
      <w:r w:rsidRPr="00743E96">
        <w:rPr>
          <w:rStyle w:val="normaltextrun"/>
        </w:rPr>
        <w:t>. In the long term</w:t>
      </w:r>
      <w:r w:rsidR="00A71DFD">
        <w:rPr>
          <w:rStyle w:val="normaltextrun"/>
        </w:rPr>
        <w:t>,</w:t>
      </w:r>
      <w:r w:rsidRPr="00743E96">
        <w:rPr>
          <w:rStyle w:val="normaltextrun"/>
        </w:rPr>
        <w:t xml:space="preserve"> supporting </w:t>
      </w:r>
      <w:r>
        <w:rPr>
          <w:rStyle w:val="normaltextrun"/>
        </w:rPr>
        <w:t>families/</w:t>
      </w:r>
      <w:r w:rsidRPr="00743E96">
        <w:rPr>
          <w:rStyle w:val="normaltextrun"/>
        </w:rPr>
        <w:t>parents</w:t>
      </w:r>
      <w:r w:rsidR="4D3C82E7" w:rsidRPr="25912059">
        <w:rPr>
          <w:rStyle w:val="normaltextrun"/>
        </w:rPr>
        <w:t xml:space="preserve"> or </w:t>
      </w:r>
      <w:r w:rsidRPr="00743E96">
        <w:rPr>
          <w:rStyle w:val="normaltextrun"/>
        </w:rPr>
        <w:t>caregivers and addressing social inequities can improve social cohesion</w:t>
      </w:r>
      <w:r w:rsidR="00A71DFD">
        <w:rPr>
          <w:rStyle w:val="normaltextrun"/>
        </w:rPr>
        <w:t>—</w:t>
      </w:r>
      <w:r w:rsidRPr="00743E96">
        <w:rPr>
          <w:rStyle w:val="normaltextrun"/>
        </w:rPr>
        <w:t>an important primary prevention aim</w:t>
      </w:r>
      <w:r w:rsidR="50A1D810" w:rsidRPr="747D35DF">
        <w:rPr>
          <w:rStyle w:val="normaltextrun"/>
        </w:rPr>
        <w:t>,</w:t>
      </w:r>
      <w:r w:rsidRPr="00743E96">
        <w:rPr>
          <w:rStyle w:val="normaltextrun"/>
        </w:rPr>
        <w:t xml:space="preserve"> and </w:t>
      </w:r>
      <w:r w:rsidR="5956EC9A" w:rsidRPr="747D35DF">
        <w:rPr>
          <w:rStyle w:val="normaltextrun"/>
        </w:rPr>
        <w:t xml:space="preserve">a </w:t>
      </w:r>
      <w:r w:rsidRPr="00743E96">
        <w:rPr>
          <w:rStyle w:val="normaltextrun"/>
        </w:rPr>
        <w:t xml:space="preserve">protective factor against SVH. </w:t>
      </w:r>
      <w:r w:rsidR="484FD1CF" w:rsidRPr="11EF5CCA">
        <w:rPr>
          <w:rStyle w:val="normaltextrun"/>
        </w:rPr>
        <w:t>Implementing supportive parenting</w:t>
      </w:r>
      <w:r w:rsidR="00101F1F">
        <w:rPr>
          <w:rStyle w:val="normaltextrun"/>
        </w:rPr>
        <w:t>/caregiving</w:t>
      </w:r>
      <w:r w:rsidR="484FD1CF" w:rsidRPr="11EF5CCA">
        <w:rPr>
          <w:rStyle w:val="normaltextrun"/>
        </w:rPr>
        <w:t xml:space="preserve"> interventions may reduce the prevalence of child maltreatment, including child sex abuse.</w:t>
      </w:r>
    </w:p>
    <w:p w14:paraId="0F1EBC41" w14:textId="546207F2" w:rsidR="00607F48" w:rsidRPr="00746DD5" w:rsidRDefault="00607F48" w:rsidP="00A429E0">
      <w:pPr>
        <w:pStyle w:val="LTU-Subhead3"/>
      </w:pPr>
      <w:r w:rsidRPr="00746DD5">
        <w:t>How to do it</w:t>
      </w:r>
      <w:r w:rsidR="00A73331" w:rsidRPr="00746DD5">
        <w:t>?</w:t>
      </w:r>
      <w:r w:rsidRPr="00746DD5">
        <w:t xml:space="preserve"> Activities/</w:t>
      </w:r>
      <w:r w:rsidRPr="00A429E0">
        <w:t>interventions</w:t>
      </w:r>
    </w:p>
    <w:p w14:paraId="7086FCB2" w14:textId="2C90BBB8" w:rsidR="0099141F" w:rsidRDefault="00607F48" w:rsidP="006F1C63">
      <w:pPr>
        <w:pStyle w:val="LTU-Bullets10pt"/>
        <w:rPr>
          <w:rFonts w:cstheme="minorBidi"/>
        </w:rPr>
      </w:pPr>
      <w:r w:rsidRPr="006A192A">
        <w:t xml:space="preserve">Parent/caregiver education </w:t>
      </w:r>
      <w:r w:rsidR="006E4492">
        <w:t>(</w:t>
      </w:r>
      <w:r w:rsidR="00EB547B">
        <w:t>e.g.</w:t>
      </w:r>
      <w:r w:rsidR="006E4492">
        <w:t>,</w:t>
      </w:r>
      <w:r w:rsidRPr="006A192A">
        <w:t xml:space="preserve"> healthy sexual development of children</w:t>
      </w:r>
      <w:r w:rsidR="004145C5">
        <w:t>, challenging gender norms through parenting/caregiver role; gender transformative approach</w:t>
      </w:r>
      <w:r w:rsidR="006E4492">
        <w:t>)</w:t>
      </w:r>
      <w:r w:rsidR="00D31294">
        <w:t xml:space="preserve"> </w:t>
      </w:r>
    </w:p>
    <w:p w14:paraId="7353E640" w14:textId="7399F666" w:rsidR="0099141F" w:rsidRDefault="00607F48" w:rsidP="006F1C63">
      <w:pPr>
        <w:pStyle w:val="LTU-Bullets10pt"/>
        <w:rPr>
          <w:rFonts w:cstheme="minorBidi"/>
        </w:rPr>
      </w:pPr>
      <w:r w:rsidRPr="006A192A">
        <w:t xml:space="preserve">Family/friend </w:t>
      </w:r>
      <w:r w:rsidR="00A757ED" w:rsidRPr="00A757ED">
        <w:t>interventions</w:t>
      </w:r>
      <w:r w:rsidR="006E4492">
        <w:t xml:space="preserve"> </w:t>
      </w:r>
      <w:r w:rsidR="00054344">
        <w:t>(</w:t>
      </w:r>
      <w:r w:rsidR="00A757ED" w:rsidRPr="00A757ED">
        <w:t>e.g.</w:t>
      </w:r>
      <w:r w:rsidR="006E4492">
        <w:t>,</w:t>
      </w:r>
      <w:r w:rsidR="00A757ED" w:rsidRPr="00A757ED">
        <w:t xml:space="preserve"> effective bystander</w:t>
      </w:r>
      <w:r w:rsidR="003A0397">
        <w:t xml:space="preserve"> approaches</w:t>
      </w:r>
      <w:r w:rsidR="00A757ED" w:rsidRPr="00A757ED">
        <w:t>, preventing intrafamilial abuse</w:t>
      </w:r>
      <w:r w:rsidR="00054344">
        <w:t>)</w:t>
      </w:r>
      <w:r w:rsidR="00D31294">
        <w:t xml:space="preserve"> </w:t>
      </w:r>
    </w:p>
    <w:p w14:paraId="685D66D1" w14:textId="7F40A21A" w:rsidR="0099141F" w:rsidRDefault="00607F48" w:rsidP="006F1C63">
      <w:pPr>
        <w:pStyle w:val="LTU-Bullets10pt"/>
        <w:rPr>
          <w:rFonts w:cstheme="minorBidi"/>
        </w:rPr>
      </w:pPr>
      <w:r w:rsidRPr="006A192A">
        <w:t>Early childhood/M</w:t>
      </w:r>
      <w:r>
        <w:t xml:space="preserve">aternal and </w:t>
      </w:r>
      <w:r w:rsidRPr="006A192A">
        <w:t>C</w:t>
      </w:r>
      <w:r>
        <w:t xml:space="preserve">hild </w:t>
      </w:r>
      <w:r w:rsidRPr="006A192A">
        <w:t>H</w:t>
      </w:r>
      <w:r>
        <w:t xml:space="preserve">ealth </w:t>
      </w:r>
      <w:r w:rsidRPr="006A192A">
        <w:t>workforce training to support parents</w:t>
      </w:r>
      <w:r w:rsidR="00AA218D">
        <w:t>/caregivers</w:t>
      </w:r>
    </w:p>
    <w:p w14:paraId="38BBF207" w14:textId="6B4E0176" w:rsidR="00607F48" w:rsidRDefault="00AA218D" w:rsidP="006F1C63">
      <w:pPr>
        <w:pStyle w:val="LTU-Bullets10pt"/>
      </w:pPr>
      <w:r>
        <w:lastRenderedPageBreak/>
        <w:t>Ad</w:t>
      </w:r>
      <w:r w:rsidR="00EB547B">
        <w:t>dress social determinants of health/p</w:t>
      </w:r>
      <w:r w:rsidR="00607F48" w:rsidRPr="006A192A">
        <w:t xml:space="preserve">rimary </w:t>
      </w:r>
      <w:r w:rsidR="00EB547B">
        <w:t>h</w:t>
      </w:r>
      <w:r w:rsidR="00607F48" w:rsidRPr="006A192A">
        <w:t xml:space="preserve">ealth </w:t>
      </w:r>
      <w:r w:rsidR="00EB547B">
        <w:t>c</w:t>
      </w:r>
      <w:r w:rsidR="00607F48" w:rsidRPr="006A192A">
        <w:t xml:space="preserve">are interventions </w:t>
      </w:r>
      <w:r w:rsidR="00660E13">
        <w:t>(</w:t>
      </w:r>
      <w:r w:rsidR="00607F48" w:rsidRPr="006A192A">
        <w:t>e.g.</w:t>
      </w:r>
      <w:r w:rsidR="00A71DFD">
        <w:t>,</w:t>
      </w:r>
      <w:r w:rsidR="32D43266">
        <w:t xml:space="preserve"> </w:t>
      </w:r>
      <w:r w:rsidR="00607F48" w:rsidRPr="006A192A">
        <w:t xml:space="preserve">Nurse Home Visiting </w:t>
      </w:r>
      <w:r w:rsidR="00607F48">
        <w:t>p</w:t>
      </w:r>
      <w:r w:rsidR="00607F48" w:rsidRPr="006A192A">
        <w:t>rograms</w:t>
      </w:r>
      <w:r w:rsidR="00D900AF">
        <w:t xml:space="preserve">, </w:t>
      </w:r>
      <w:r w:rsidR="00D900AF" w:rsidRPr="00D638AB">
        <w:rPr>
          <w:i/>
          <w:iCs/>
        </w:rPr>
        <w:t>Triple P</w:t>
      </w:r>
      <w:r w:rsidR="00660E13">
        <w:t>)</w:t>
      </w:r>
    </w:p>
    <w:p w14:paraId="160BC43E" w14:textId="77777777" w:rsidR="00746DD5" w:rsidRPr="00746DD5" w:rsidRDefault="00746DD5" w:rsidP="00292F96">
      <w:pPr>
        <w:pStyle w:val="Pullouts"/>
      </w:pPr>
      <w:r w:rsidRPr="00746DD5">
        <w:t>We have to address the causes of the causes—the social conditions acting through the life course that both affect exposures and people’s behaviour (Marmot, 2015)</w:t>
      </w:r>
    </w:p>
    <w:p w14:paraId="2A9AF73E" w14:textId="77777777" w:rsidR="00746DD5" w:rsidRPr="00746DD5" w:rsidRDefault="00746DD5" w:rsidP="00746DD5">
      <w:pPr>
        <w:pStyle w:val="LTU-Body10pt"/>
        <w:rPr>
          <w:lang w:eastAsia="en-AU" w:bidi="en-US"/>
        </w:rPr>
      </w:pPr>
    </w:p>
    <w:p w14:paraId="1D40C718" w14:textId="7A0FE6C5" w:rsidR="00607F48" w:rsidRPr="0019421E" w:rsidRDefault="00607F48" w:rsidP="00A429E0">
      <w:pPr>
        <w:pStyle w:val="LTU-Subhead3"/>
      </w:pPr>
      <w:bookmarkStart w:id="54" w:name="_Hlk63340537"/>
      <w:r w:rsidRPr="0019421E">
        <w:t>What will happen</w:t>
      </w:r>
      <w:r w:rsidR="006E4492" w:rsidRPr="0019421E">
        <w:t xml:space="preserve">? </w:t>
      </w:r>
      <w:r w:rsidR="00A71DFD" w:rsidRPr="0019421E">
        <w:t>Short-</w:t>
      </w:r>
      <w:r w:rsidRPr="0019421E">
        <w:t>term outcomes</w:t>
      </w:r>
    </w:p>
    <w:bookmarkEnd w:id="54"/>
    <w:p w14:paraId="04C6A3CF" w14:textId="2A069A7C" w:rsidR="0099141F" w:rsidRDefault="00607F48" w:rsidP="006F1C63">
      <w:pPr>
        <w:pStyle w:val="LTU-Bullets10pt"/>
        <w:rPr>
          <w:rFonts w:cstheme="minorBidi"/>
        </w:rPr>
      </w:pPr>
      <w:r w:rsidRPr="006A192A">
        <w:t>Greater parental/caregiver knowledge</w:t>
      </w:r>
      <w:r w:rsidR="00284837">
        <w:t>,</w:t>
      </w:r>
      <w:r w:rsidRPr="006A192A">
        <w:t xml:space="preserve"> awareness of positive parenting</w:t>
      </w:r>
      <w:r w:rsidR="00F41A4E">
        <w:t>/caregiving</w:t>
      </w:r>
      <w:r w:rsidR="00284837">
        <w:t>,</w:t>
      </w:r>
      <w:r w:rsidRPr="006A192A">
        <w:t xml:space="preserve"> child development</w:t>
      </w:r>
    </w:p>
    <w:p w14:paraId="133F2963" w14:textId="6FBF9C81" w:rsidR="0099141F" w:rsidRDefault="00607F48" w:rsidP="006F1C63">
      <w:pPr>
        <w:pStyle w:val="LTU-Bullets10pt"/>
        <w:rPr>
          <w:rFonts w:cstheme="minorBidi"/>
        </w:rPr>
      </w:pPr>
      <w:r w:rsidRPr="10AE549A">
        <w:rPr>
          <w:rFonts w:cstheme="minorBidi"/>
        </w:rPr>
        <w:t>Increased community support and social connection</w:t>
      </w:r>
      <w:r w:rsidR="006C0C1A" w:rsidRPr="10AE549A">
        <w:rPr>
          <w:rFonts w:cstheme="minorBidi"/>
        </w:rPr>
        <w:t>, reduced perpetration</w:t>
      </w:r>
    </w:p>
    <w:p w14:paraId="67447945" w14:textId="35C1352D" w:rsidR="0099141F" w:rsidRDefault="00607F48" w:rsidP="006F1C63">
      <w:pPr>
        <w:pStyle w:val="LTU-Bullets10pt"/>
        <w:rPr>
          <w:rFonts w:cstheme="minorBidi"/>
        </w:rPr>
      </w:pPr>
      <w:r w:rsidRPr="006A192A">
        <w:t xml:space="preserve">Increased numbers of </w:t>
      </w:r>
      <w:r w:rsidR="006C0C1A">
        <w:t>e</w:t>
      </w:r>
      <w:r w:rsidRPr="006A192A">
        <w:t xml:space="preserve">arly </w:t>
      </w:r>
      <w:r w:rsidR="006C0C1A">
        <w:t>c</w:t>
      </w:r>
      <w:r>
        <w:t>hildhood</w:t>
      </w:r>
      <w:r w:rsidRPr="006A192A">
        <w:t>/M</w:t>
      </w:r>
      <w:r w:rsidR="00A050A5">
        <w:t>aternal an</w:t>
      </w:r>
      <w:r w:rsidR="00ED05AF">
        <w:t>d</w:t>
      </w:r>
      <w:r w:rsidRPr="006A192A">
        <w:t xml:space="preserve"> </w:t>
      </w:r>
      <w:r w:rsidR="00ED05AF">
        <w:t xml:space="preserve">Child Health </w:t>
      </w:r>
      <w:r w:rsidRPr="006A192A">
        <w:t>nurses qualified</w:t>
      </w:r>
      <w:r>
        <w:t xml:space="preserve"> </w:t>
      </w:r>
    </w:p>
    <w:p w14:paraId="4D6D8AF3" w14:textId="3D769DE1" w:rsidR="00607F48" w:rsidRPr="0099141F" w:rsidRDefault="00607F48" w:rsidP="006F1C63">
      <w:pPr>
        <w:pStyle w:val="LTU-Bullets10pt"/>
        <w:rPr>
          <w:rFonts w:cstheme="minorBidi"/>
        </w:rPr>
      </w:pPr>
      <w:r w:rsidRPr="006A192A">
        <w:t>Reduced family stress indicators</w:t>
      </w:r>
      <w:r w:rsidRPr="10AE549A">
        <w:rPr>
          <w:rFonts w:cstheme="minorBidi"/>
        </w:rPr>
        <w:t xml:space="preserve">; </w:t>
      </w:r>
      <w:r>
        <w:t>i</w:t>
      </w:r>
      <w:r w:rsidRPr="006A192A">
        <w:t>ncreased access to parental/caregiver support</w:t>
      </w:r>
    </w:p>
    <w:p w14:paraId="7E786F54" w14:textId="520F0546" w:rsidR="00607F48" w:rsidRPr="0019421E" w:rsidRDefault="00607F48" w:rsidP="00A429E0">
      <w:pPr>
        <w:pStyle w:val="LTU-Subhead3"/>
      </w:pPr>
      <w:r w:rsidRPr="0019421E">
        <w:t>What you are measuring</w:t>
      </w:r>
      <w:r w:rsidR="006E4492" w:rsidRPr="0019421E">
        <w:t>?</w:t>
      </w:r>
      <w:r w:rsidRPr="0019421E">
        <w:t xml:space="preserve"> </w:t>
      </w:r>
      <w:r w:rsidR="00A71DFD" w:rsidRPr="0019421E">
        <w:t>Long-</w:t>
      </w:r>
      <w:r w:rsidRPr="0019421E">
        <w:t>term outcomes</w:t>
      </w:r>
    </w:p>
    <w:p w14:paraId="342609B3" w14:textId="728C054D" w:rsidR="0099141F" w:rsidRDefault="00607F48" w:rsidP="006F1C63">
      <w:pPr>
        <w:pStyle w:val="LTU-Bullets10pt"/>
        <w:rPr>
          <w:rFonts w:cstheme="minorBidi"/>
        </w:rPr>
      </w:pPr>
      <w:r w:rsidRPr="006A192A">
        <w:t>Enhanced parenting</w:t>
      </w:r>
      <w:r w:rsidR="00101F1F">
        <w:t>/caregiving</w:t>
      </w:r>
      <w:r w:rsidRPr="006A192A">
        <w:t xml:space="preserve"> behaviours</w:t>
      </w:r>
    </w:p>
    <w:p w14:paraId="791542F0" w14:textId="32CD4C83" w:rsidR="0099141F" w:rsidRDefault="00A71DFD" w:rsidP="006F1C63">
      <w:pPr>
        <w:pStyle w:val="LTU-Bullets10pt"/>
        <w:rPr>
          <w:rFonts w:cstheme="minorBidi"/>
        </w:rPr>
      </w:pPr>
      <w:r w:rsidRPr="006A192A">
        <w:t>Child</w:t>
      </w:r>
      <w:r>
        <w:t>-</w:t>
      </w:r>
      <w:r w:rsidR="00607F48" w:rsidRPr="006A192A">
        <w:t>safe environments</w:t>
      </w:r>
    </w:p>
    <w:p w14:paraId="1F41B867" w14:textId="049C70D1" w:rsidR="0099141F" w:rsidRDefault="00607F48" w:rsidP="006F1C63">
      <w:pPr>
        <w:pStyle w:val="LTU-Bullets10pt"/>
        <w:rPr>
          <w:rFonts w:cstheme="minorBidi"/>
        </w:rPr>
      </w:pPr>
      <w:r w:rsidRPr="006A192A">
        <w:t>Increased early years workforce capacity</w:t>
      </w:r>
    </w:p>
    <w:p w14:paraId="12068357" w14:textId="2A0E3070" w:rsidR="00607F48" w:rsidRPr="0099141F" w:rsidRDefault="00607F48" w:rsidP="006F1C63">
      <w:pPr>
        <w:pStyle w:val="LTU-Bullets10pt"/>
        <w:rPr>
          <w:rFonts w:cstheme="minorBidi"/>
        </w:rPr>
      </w:pPr>
      <w:r w:rsidRPr="006A192A">
        <w:t>Nurtured families and parent</w:t>
      </w:r>
      <w:r w:rsidR="00D22A42">
        <w:t>/caregiver</w:t>
      </w:r>
      <w:r w:rsidR="00A71DFD">
        <w:t>–</w:t>
      </w:r>
      <w:r w:rsidRPr="006A192A">
        <w:t>child relationships</w:t>
      </w:r>
      <w:r>
        <w:t xml:space="preserve">; </w:t>
      </w:r>
      <w:r w:rsidR="00965D86">
        <w:t>b</w:t>
      </w:r>
      <w:r w:rsidRPr="006A192A">
        <w:t>reaking cycle of intergenerational SVH victimisation and perpetration</w:t>
      </w:r>
    </w:p>
    <w:p w14:paraId="1EE9665E" w14:textId="2A68FAA9" w:rsidR="00607F48" w:rsidRPr="0019421E" w:rsidRDefault="00607F48" w:rsidP="00A429E0">
      <w:pPr>
        <w:pStyle w:val="LTU-Subhead3"/>
      </w:pPr>
      <w:r w:rsidRPr="0019421E">
        <w:t>What evidence is there?</w:t>
      </w:r>
    </w:p>
    <w:p w14:paraId="2877B990" w14:textId="032708AD" w:rsidR="00607F48" w:rsidRPr="006A192A" w:rsidRDefault="00607F48" w:rsidP="00607F48">
      <w:pPr>
        <w:pStyle w:val="LTU-Body10pt"/>
        <w:rPr>
          <w:rStyle w:val="normaltextrun"/>
        </w:rPr>
      </w:pPr>
      <w:r>
        <w:rPr>
          <w:rStyle w:val="normaltextrun"/>
        </w:rPr>
        <w:t>A comprehensive evidence review of effective, evaluated SVH evaluations has been completed</w:t>
      </w:r>
      <w:r w:rsidR="00662269">
        <w:rPr>
          <w:rStyle w:val="normaltextrun"/>
        </w:rPr>
        <w:t xml:space="preserve"> as part of this project</w:t>
      </w:r>
      <w:r>
        <w:rPr>
          <w:rStyle w:val="normaltextrun"/>
        </w:rPr>
        <w:t xml:space="preserve"> and readers are directed to this document for detailed information (Hooker et al., 2020). Interventions mentioned here are examples only and not exhaustive.</w:t>
      </w:r>
      <w:r w:rsidR="3213FCA5" w:rsidRPr="32AEEF99">
        <w:rPr>
          <w:rStyle w:val="normaltextrun"/>
        </w:rPr>
        <w:t xml:space="preserve"> </w:t>
      </w:r>
      <w:r w:rsidRPr="006A192A">
        <w:rPr>
          <w:rStyle w:val="normaltextrun"/>
        </w:rPr>
        <w:t>The following approaches aim to support parents</w:t>
      </w:r>
      <w:r w:rsidR="00ED7DE8">
        <w:rPr>
          <w:rStyle w:val="normaltextrun"/>
        </w:rPr>
        <w:t xml:space="preserve"> and caregivers</w:t>
      </w:r>
      <w:r w:rsidRPr="006A192A">
        <w:rPr>
          <w:rStyle w:val="normaltextrun"/>
        </w:rPr>
        <w:t xml:space="preserve"> to protect children and prevent SVH.</w:t>
      </w:r>
      <w:r w:rsidR="00A71DFD">
        <w:rPr>
          <w:rStyle w:val="normaltextrun"/>
        </w:rPr>
        <w:t xml:space="preserve"> </w:t>
      </w:r>
    </w:p>
    <w:p w14:paraId="4F523794" w14:textId="779751DA" w:rsidR="00451DAC" w:rsidRPr="004151A5" w:rsidRDefault="69AEDE46" w:rsidP="004151A5">
      <w:pPr>
        <w:pStyle w:val="LTU-Body10pt"/>
        <w:ind w:right="-2"/>
        <w:rPr>
          <w:rFonts w:eastAsiaTheme="minorEastAsia" w:cstheme="minorBidi"/>
          <w:color w:val="000000" w:themeColor="text1"/>
        </w:rPr>
      </w:pPr>
      <w:r w:rsidRPr="00A429E0">
        <w:rPr>
          <w:rStyle w:val="normaltextrun"/>
          <w:b/>
          <w:bCs/>
          <w:i/>
          <w:iCs/>
        </w:rPr>
        <w:t>P</w:t>
      </w:r>
      <w:r w:rsidR="00607F48" w:rsidRPr="00A429E0">
        <w:rPr>
          <w:rStyle w:val="normaltextrun"/>
          <w:b/>
          <w:bCs/>
          <w:i/>
          <w:iCs/>
        </w:rPr>
        <w:t>arent</w:t>
      </w:r>
      <w:r w:rsidR="4A10CC81" w:rsidRPr="00A429E0">
        <w:rPr>
          <w:rStyle w:val="normaltextrun"/>
          <w:b/>
          <w:bCs/>
          <w:i/>
          <w:iCs/>
        </w:rPr>
        <w:t>ing</w:t>
      </w:r>
      <w:r w:rsidR="00607F48" w:rsidRPr="00A429E0">
        <w:rPr>
          <w:rStyle w:val="normaltextrun"/>
          <w:b/>
          <w:bCs/>
          <w:i/>
          <w:iCs/>
        </w:rPr>
        <w:t xml:space="preserve"> programs:</w:t>
      </w:r>
      <w:r w:rsidR="00607F48" w:rsidRPr="00A429E0">
        <w:rPr>
          <w:rStyle w:val="normaltextrun"/>
        </w:rPr>
        <w:t xml:space="preserve"> </w:t>
      </w:r>
      <w:r w:rsidR="014CF0FC" w:rsidRPr="004151A5">
        <w:rPr>
          <w:rStyle w:val="normaltextrun"/>
          <w:color w:val="000000" w:themeColor="text1"/>
        </w:rPr>
        <w:t>P</w:t>
      </w:r>
      <w:r w:rsidR="1103F701" w:rsidRPr="004151A5">
        <w:rPr>
          <w:rFonts w:eastAsiaTheme="minorEastAsia" w:cstheme="minorBidi"/>
          <w:color w:val="000000" w:themeColor="text1"/>
        </w:rPr>
        <w:t>arents</w:t>
      </w:r>
      <w:r w:rsidR="00A318F9" w:rsidRPr="004151A5">
        <w:rPr>
          <w:rFonts w:eastAsiaTheme="minorEastAsia" w:cstheme="minorBidi"/>
          <w:color w:val="000000" w:themeColor="text1"/>
        </w:rPr>
        <w:t xml:space="preserve"> and caregivers</w:t>
      </w:r>
      <w:r w:rsidR="1103F701" w:rsidRPr="004151A5">
        <w:rPr>
          <w:rFonts w:eastAsiaTheme="minorEastAsia" w:cstheme="minorBidi"/>
          <w:color w:val="000000" w:themeColor="text1"/>
        </w:rPr>
        <w:t xml:space="preserve"> play a key role </w:t>
      </w:r>
      <w:r w:rsidR="5E58DE6C" w:rsidRPr="004151A5">
        <w:rPr>
          <w:rFonts w:eastAsiaTheme="minorEastAsia" w:cstheme="minorBidi"/>
          <w:color w:val="000000" w:themeColor="text1"/>
        </w:rPr>
        <w:t>in protecting</w:t>
      </w:r>
      <w:r w:rsidR="1103F701" w:rsidRPr="004151A5">
        <w:rPr>
          <w:rFonts w:eastAsiaTheme="minorEastAsia" w:cstheme="minorBidi"/>
          <w:color w:val="000000" w:themeColor="text1"/>
        </w:rPr>
        <w:t xml:space="preserve"> children</w:t>
      </w:r>
      <w:r w:rsidR="225BF5BE" w:rsidRPr="004151A5">
        <w:rPr>
          <w:rFonts w:eastAsiaTheme="minorEastAsia" w:cstheme="minorBidi"/>
          <w:color w:val="000000" w:themeColor="text1"/>
        </w:rPr>
        <w:t>, either</w:t>
      </w:r>
      <w:r w:rsidR="1103F701" w:rsidRPr="004151A5">
        <w:rPr>
          <w:rFonts w:eastAsiaTheme="minorEastAsia" w:cstheme="minorBidi"/>
          <w:color w:val="000000" w:themeColor="text1"/>
        </w:rPr>
        <w:t xml:space="preserve"> directly through parent</w:t>
      </w:r>
      <w:r w:rsidR="00480460" w:rsidRPr="004151A5">
        <w:rPr>
          <w:rFonts w:eastAsiaTheme="minorEastAsia" w:cstheme="minorBidi"/>
          <w:color w:val="000000" w:themeColor="text1"/>
        </w:rPr>
        <w:t>al</w:t>
      </w:r>
      <w:r w:rsidR="00434D49" w:rsidRPr="004151A5">
        <w:rPr>
          <w:rFonts w:eastAsiaTheme="minorEastAsia" w:cstheme="minorBidi"/>
          <w:color w:val="000000" w:themeColor="text1"/>
        </w:rPr>
        <w:t xml:space="preserve"> and caregiver</w:t>
      </w:r>
      <w:r w:rsidR="1103F701" w:rsidRPr="004151A5">
        <w:rPr>
          <w:rFonts w:eastAsiaTheme="minorEastAsia" w:cstheme="minorBidi"/>
          <w:color w:val="000000" w:themeColor="text1"/>
        </w:rPr>
        <w:t xml:space="preserve"> supervision and involvement</w:t>
      </w:r>
      <w:r w:rsidR="00D12B25" w:rsidRPr="004151A5">
        <w:rPr>
          <w:rFonts w:eastAsiaTheme="minorEastAsia" w:cstheme="minorBidi"/>
          <w:color w:val="000000" w:themeColor="text1"/>
        </w:rPr>
        <w:t>,</w:t>
      </w:r>
      <w:r w:rsidR="1103F701" w:rsidRPr="004151A5">
        <w:rPr>
          <w:rFonts w:eastAsiaTheme="minorEastAsia" w:cstheme="minorBidi"/>
          <w:color w:val="000000" w:themeColor="text1"/>
        </w:rPr>
        <w:t xml:space="preserve"> and indirectly, by promoting </w:t>
      </w:r>
      <w:r w:rsidR="1338C37D" w:rsidRPr="004151A5">
        <w:rPr>
          <w:rFonts w:eastAsiaTheme="minorEastAsia" w:cstheme="minorBidi"/>
          <w:color w:val="000000" w:themeColor="text1"/>
        </w:rPr>
        <w:t>child</w:t>
      </w:r>
      <w:r w:rsidR="1103F701" w:rsidRPr="004151A5">
        <w:rPr>
          <w:rFonts w:eastAsiaTheme="minorEastAsia" w:cstheme="minorBidi"/>
          <w:color w:val="000000" w:themeColor="text1"/>
        </w:rPr>
        <w:t xml:space="preserve"> self-efficacy, competence, wellbeing and self-esteem</w:t>
      </w:r>
      <w:r w:rsidR="477352B3" w:rsidRPr="004151A5">
        <w:rPr>
          <w:rFonts w:eastAsiaTheme="minorEastAsia" w:cstheme="minorBidi"/>
          <w:color w:val="000000" w:themeColor="text1"/>
        </w:rPr>
        <w:t>.</w:t>
      </w:r>
      <w:r w:rsidR="1103F701" w:rsidRPr="004151A5">
        <w:rPr>
          <w:rFonts w:eastAsiaTheme="minorEastAsia" w:cstheme="minorBidi"/>
          <w:color w:val="000000" w:themeColor="text1"/>
        </w:rPr>
        <w:t xml:space="preserve"> </w:t>
      </w:r>
      <w:r w:rsidR="477352B3" w:rsidRPr="004151A5">
        <w:rPr>
          <w:rFonts w:eastAsiaTheme="minorEastAsia" w:cstheme="minorBidi"/>
          <w:color w:val="000000" w:themeColor="text1"/>
        </w:rPr>
        <w:t>These attributes</w:t>
      </w:r>
      <w:r w:rsidR="1103F701" w:rsidRPr="004151A5">
        <w:rPr>
          <w:rFonts w:eastAsiaTheme="minorEastAsia" w:cstheme="minorBidi"/>
          <w:color w:val="000000" w:themeColor="text1"/>
        </w:rPr>
        <w:t xml:space="preserve"> help </w:t>
      </w:r>
      <w:r w:rsidR="7FB782A5" w:rsidRPr="004151A5">
        <w:rPr>
          <w:rFonts w:eastAsiaTheme="minorEastAsia" w:cstheme="minorBidi"/>
          <w:color w:val="000000" w:themeColor="text1"/>
        </w:rPr>
        <w:t>children</w:t>
      </w:r>
      <w:r w:rsidR="1103F701" w:rsidRPr="004151A5">
        <w:rPr>
          <w:rFonts w:eastAsiaTheme="minorEastAsia" w:cstheme="minorBidi"/>
          <w:color w:val="000000" w:themeColor="text1"/>
        </w:rPr>
        <w:t xml:space="preserve"> become less likely targets for abuse and more able to respond appropriately and </w:t>
      </w:r>
      <w:r w:rsidR="1103F701" w:rsidRPr="004151A5">
        <w:rPr>
          <w:rFonts w:eastAsiaTheme="minorEastAsia" w:cstheme="minorBidi"/>
          <w:color w:val="000000" w:themeColor="text1"/>
        </w:rPr>
        <w:lastRenderedPageBreak/>
        <w:t>disclose abuse if it occurs</w:t>
      </w:r>
      <w:r w:rsidR="006A329E" w:rsidRPr="004151A5">
        <w:rPr>
          <w:rFonts w:eastAsiaTheme="minorEastAsia" w:cstheme="minorBidi"/>
          <w:color w:val="000000" w:themeColor="text1"/>
        </w:rPr>
        <w:t xml:space="preserve"> </w:t>
      </w:r>
      <w:r w:rsidR="006A329E" w:rsidRPr="004151A5">
        <w:rPr>
          <w:rFonts w:eastAsiaTheme="minorEastAsia" w:cstheme="minorBidi"/>
          <w:color w:val="000000" w:themeColor="text1"/>
        </w:rPr>
        <w:fldChar w:fldCharType="begin" w:fldLock="1"/>
      </w:r>
      <w:r w:rsidR="00082EEB" w:rsidRPr="004151A5">
        <w:rPr>
          <w:rFonts w:eastAsiaTheme="minorEastAsia" w:cstheme="minorBidi"/>
          <w:color w:val="000000" w:themeColor="text1"/>
        </w:rPr>
        <w:instrText>ADDIN CSL_CITATION {"citationItems":[{"id":"ITEM-1","itemData":{"DOI":"10.1177/1077559517729479","ISSN":"15526119","PMID":"28920456","abstract":"To date, child sexual abuse (CSA) prevention has relied largely on child-focused education, teaching children how to identify, avoid, and disclose sexual abuse. The purpose of this article is to explore how prevention opportunities can include parents in new and innovative ways. We propose that parents can play a significant role as protectors of their children via two pathways: (i) directly, through the strong external barriers afforded by parent supervision, monitoring, and involvement; and (ii) indirectly, by promoting their children’s self-efficacy, competence, well-being, and self-esteem, which the balance of evidence suggests will help them become less likely targets for abuse and more able to respond appropriately and disclose abuse if it occurs. In this article, we first describe why teaching young children about CSA protective behaviors might not be sufficient for prevention. We then narratively review the existing research on parents and prevention and the parenting and family circumstances that may increase a child’s risk of experiencing sexual abuse. Finally, we make a number of recommendations for future approaches to prevention that may better inform and involve parents and other adult protectors in preventing CSA.","author":[{"dropping-particle":"","family":"Rudolph","given":"Julia","non-dropping-particle":"","parse-names":false,"suffix":""},{"dropping-particle":"","family":"Zimmer-Gembeck","given":"Melanie J","non-dropping-particle":"","parse-names":false,"suffix":""},{"dropping-particle":"","family":"Shanley","given":"Dianne C","non-dropping-particle":"","parse-names":false,"suffix":""},{"dropping-particle":"","family":"Hawkins","given":"Russell","non-dropping-particle":"","parse-names":false,"suffix":""}],"container-title":"Child Maltreatment","genre":"article","id":"ITEM-1","issue":"1","issued":{"date-parts":[["2018"]]},"language":"eng","page":"96-106","publisher":"SAGE Publications","publisher-place":"Los Angeles, CA","title":"Child sexual abuse prevention opportunities: Parenting, programs, and the reduction of risk","type":"article-journal","volume":"23"},"uris":["http://www.mendeley.com/documents/?uuid=c76e4265-e014-3f69-a494-ea01803bbd01"]}],"mendeley":{"formattedCitation":"(Rudolph et al., 2018)","plainTextFormattedCitation":"(Rudolph et al., 2018)","previouslyFormattedCitation":"(Rudolph et al., 2018)"},"properties":{"noteIndex":0},"schema":"https://github.com/citation-style-language/schema/raw/master/csl-citation.json"}</w:instrText>
      </w:r>
      <w:r w:rsidR="006A329E" w:rsidRPr="004151A5">
        <w:rPr>
          <w:rFonts w:eastAsiaTheme="minorEastAsia" w:cstheme="minorBidi"/>
          <w:color w:val="000000" w:themeColor="text1"/>
        </w:rPr>
        <w:fldChar w:fldCharType="separate"/>
      </w:r>
      <w:r w:rsidR="005559E9" w:rsidRPr="004151A5">
        <w:rPr>
          <w:rFonts w:eastAsiaTheme="minorEastAsia" w:cstheme="minorBidi"/>
          <w:noProof/>
          <w:color w:val="000000" w:themeColor="text1"/>
        </w:rPr>
        <w:t>(Rudolph et al., 2018)</w:t>
      </w:r>
      <w:r w:rsidR="006A329E" w:rsidRPr="004151A5">
        <w:rPr>
          <w:rFonts w:eastAsiaTheme="minorEastAsia" w:cstheme="minorBidi"/>
          <w:color w:val="000000" w:themeColor="text1"/>
        </w:rPr>
        <w:fldChar w:fldCharType="end"/>
      </w:r>
      <w:r w:rsidR="1103F701" w:rsidRPr="004151A5">
        <w:rPr>
          <w:rFonts w:eastAsiaTheme="minorEastAsia" w:cstheme="minorBidi"/>
          <w:color w:val="000000" w:themeColor="text1"/>
        </w:rPr>
        <w:t>.</w:t>
      </w:r>
      <w:r w:rsidR="70159C4C" w:rsidRPr="004151A5">
        <w:rPr>
          <w:rFonts w:eastAsiaTheme="minorEastAsia" w:cstheme="minorBidi"/>
          <w:color w:val="000000" w:themeColor="text1"/>
        </w:rPr>
        <w:t xml:space="preserve"> Programs that combine </w:t>
      </w:r>
      <w:r w:rsidR="04195EDC" w:rsidRPr="004151A5">
        <w:rPr>
          <w:rFonts w:eastAsiaTheme="minorEastAsia" w:cstheme="minorBidi"/>
          <w:color w:val="000000" w:themeColor="text1"/>
        </w:rPr>
        <w:t>positive</w:t>
      </w:r>
      <w:r w:rsidR="07A65DB3" w:rsidRPr="004151A5">
        <w:rPr>
          <w:rFonts w:eastAsiaTheme="minorEastAsia" w:cstheme="minorBidi"/>
          <w:color w:val="000000" w:themeColor="text1"/>
        </w:rPr>
        <w:t xml:space="preserve"> parenting</w:t>
      </w:r>
      <w:r w:rsidR="008B7665" w:rsidRPr="004151A5">
        <w:rPr>
          <w:rFonts w:eastAsiaTheme="minorEastAsia" w:cstheme="minorBidi"/>
          <w:color w:val="000000" w:themeColor="text1"/>
        </w:rPr>
        <w:t>/caregiving</w:t>
      </w:r>
      <w:r w:rsidR="07A65DB3" w:rsidRPr="004151A5">
        <w:rPr>
          <w:rFonts w:eastAsiaTheme="minorEastAsia" w:cstheme="minorBidi"/>
          <w:color w:val="000000" w:themeColor="text1"/>
        </w:rPr>
        <w:t xml:space="preserve"> (e.g.</w:t>
      </w:r>
      <w:r w:rsidR="004D3F87" w:rsidRPr="004151A5">
        <w:rPr>
          <w:rFonts w:eastAsiaTheme="minorEastAsia" w:cstheme="minorBidi"/>
          <w:color w:val="000000" w:themeColor="text1"/>
        </w:rPr>
        <w:t>,</w:t>
      </w:r>
      <w:r w:rsidR="07A65DB3" w:rsidRPr="004151A5">
        <w:rPr>
          <w:rFonts w:eastAsiaTheme="minorEastAsia" w:cstheme="minorBidi"/>
          <w:color w:val="000000" w:themeColor="text1"/>
        </w:rPr>
        <w:t xml:space="preserve"> </w:t>
      </w:r>
      <w:r w:rsidR="07A65DB3" w:rsidRPr="004151A5">
        <w:rPr>
          <w:rFonts w:eastAsiaTheme="minorEastAsia" w:cstheme="minorBidi"/>
          <w:i/>
          <w:color w:val="000000" w:themeColor="text1"/>
        </w:rPr>
        <w:t>Triple P</w:t>
      </w:r>
      <w:r w:rsidR="3F921568" w:rsidRPr="004151A5">
        <w:rPr>
          <w:rFonts w:eastAsiaTheme="minorEastAsia" w:cstheme="minorBidi"/>
          <w:color w:val="000000" w:themeColor="text1"/>
        </w:rPr>
        <w:t xml:space="preserve">) </w:t>
      </w:r>
      <w:r w:rsidR="07A65DB3" w:rsidRPr="004151A5">
        <w:rPr>
          <w:rFonts w:eastAsiaTheme="minorEastAsia" w:cstheme="minorBidi"/>
          <w:color w:val="000000" w:themeColor="text1"/>
        </w:rPr>
        <w:t>with parent</w:t>
      </w:r>
      <w:r w:rsidR="00101F1F" w:rsidRPr="004151A5">
        <w:rPr>
          <w:rFonts w:eastAsiaTheme="minorEastAsia" w:cstheme="minorBidi"/>
          <w:color w:val="000000" w:themeColor="text1"/>
        </w:rPr>
        <w:t>–</w:t>
      </w:r>
      <w:r w:rsidR="008B7665" w:rsidRPr="004151A5">
        <w:rPr>
          <w:rFonts w:eastAsiaTheme="minorEastAsia" w:cstheme="minorBidi"/>
          <w:color w:val="000000" w:themeColor="text1"/>
        </w:rPr>
        <w:t>/caregiver</w:t>
      </w:r>
      <w:r w:rsidR="00101F1F" w:rsidRPr="004151A5">
        <w:rPr>
          <w:rFonts w:eastAsiaTheme="minorEastAsia" w:cstheme="minorBidi"/>
          <w:color w:val="000000" w:themeColor="text1"/>
        </w:rPr>
        <w:t>–</w:t>
      </w:r>
      <w:r w:rsidR="07A65DB3" w:rsidRPr="004151A5">
        <w:rPr>
          <w:rFonts w:eastAsiaTheme="minorEastAsia" w:cstheme="minorBidi"/>
          <w:color w:val="000000" w:themeColor="text1"/>
        </w:rPr>
        <w:t>child discussion of child sex abuse may have the greatest impact</w:t>
      </w:r>
      <w:r w:rsidR="2C612B1A" w:rsidRPr="004151A5">
        <w:rPr>
          <w:rFonts w:eastAsiaTheme="minorEastAsia" w:cstheme="minorBidi"/>
          <w:color w:val="000000" w:themeColor="text1"/>
        </w:rPr>
        <w:t>.</w:t>
      </w:r>
      <w:r w:rsidR="58849A44" w:rsidRPr="004151A5">
        <w:rPr>
          <w:rFonts w:eastAsiaTheme="minorEastAsia" w:cstheme="minorBidi"/>
          <w:color w:val="000000" w:themeColor="text1"/>
        </w:rPr>
        <w:t xml:space="preserve"> </w:t>
      </w:r>
      <w:r w:rsidR="1504A5A8" w:rsidRPr="004151A5">
        <w:rPr>
          <w:rFonts w:eastAsiaTheme="minorEastAsia" w:cstheme="minorBidi"/>
          <w:i/>
          <w:color w:val="000000" w:themeColor="text1"/>
        </w:rPr>
        <w:t>Triple P</w:t>
      </w:r>
      <w:r w:rsidR="001C4AF8" w:rsidRPr="004151A5">
        <w:rPr>
          <w:rFonts w:eastAsiaTheme="minorEastAsia" w:cstheme="minorBidi"/>
          <w:i/>
          <w:color w:val="000000" w:themeColor="text1"/>
        </w:rPr>
        <w:t xml:space="preserve"> </w:t>
      </w:r>
      <w:r w:rsidR="001C4AF8" w:rsidRPr="004151A5">
        <w:rPr>
          <w:rFonts w:eastAsiaTheme="minorEastAsia" w:cstheme="minorBidi"/>
          <w:i/>
          <w:color w:val="000000" w:themeColor="text1"/>
        </w:rPr>
        <w:fldChar w:fldCharType="begin" w:fldLock="1"/>
      </w:r>
      <w:r w:rsidR="005559E9" w:rsidRPr="004151A5">
        <w:rPr>
          <w:rFonts w:eastAsiaTheme="minorEastAsia" w:cstheme="minorBidi"/>
          <w:i/>
          <w:color w:val="000000" w:themeColor="text1"/>
        </w:rPr>
        <w:instrText>ADDIN CSL_CITATION {"citationItems":[{"id":"ITEM-1","itemData":{"DOI":"10.1007/s11121-009-0123-3","ISSN":"13894986","PMID":"19160053","abstract":"The prevention of child maltreatment necessitates a public health approach. In the U.S. Triple P System Population Trial, 18 counties were randomly assigned to either dissemination of the Triple P-Positive Parenting Program system or to the services-as-usual control condition. Dissemination involved Triple P professional training for the existing workforce (over 600 service providers), as well as universal media and communication strategies. Large effect sizes were found for three independently derived population indicators: substantiated child maltreatment, child out-of-home placements, and child maltreatment injuries. This study is the first to randomize geographical areas and show preventive impact on child maltreatment at a population level using evidence-based parenting interventions.","author":[{"dropping-particle":"","family":"Prinz","given":"Ronald J","non-dropping-particle":"","parse-names":false,"suffix":""},{"dropping-particle":"","family":"Sanders","given":"Matthew R","non-dropping-particle":"","parse-names":false,"suffix":""},{"dropping-particle":"","family":"Shapiro","given":"Cheri J","non-dropping-particle":"","parse-names":false,"suffix":""},{"dropping-particle":"","family":"Whitaker","given":"Daniel J","non-dropping-particle":"","parse-names":false,"suffix":""},{"dropping-particle":"","family":"Lutzker","given":"John R","non-dropping-particle":"","parse-names":false,"suffix":""}],"container-title":"Prevention Science","genre":"article","id":"ITEM-1","issue":"1","issued":{"date-parts":[["2009"]]},"language":"eng","page":"1-12","publisher":"Springer US","publisher-place":"Boston","title":"Population-based prevention of child maltreatment: The U.S. triple P system population trial","title-short":"Prev Sci","type":"article-journal","volume":"10"},"uris":["http://www.mendeley.com/documents/?uuid=7f0b1967-1455-3f20-af27-c220332febd1"]}],"mendeley":{"formattedCitation":"(Prinz et al., 2009)","plainTextFormattedCitation":"(Prinz et al., 2009)","previouslyFormattedCitation":"(Prinz et al., 2009)"},"properties":{"noteIndex":0},"schema":"https://github.com/citation-style-language/schema/raw/master/csl-citation.json"}</w:instrText>
      </w:r>
      <w:r w:rsidR="001C4AF8" w:rsidRPr="004151A5">
        <w:rPr>
          <w:rFonts w:eastAsiaTheme="minorEastAsia" w:cstheme="minorBidi"/>
          <w:i/>
          <w:color w:val="000000" w:themeColor="text1"/>
        </w:rPr>
        <w:fldChar w:fldCharType="separate"/>
      </w:r>
      <w:r w:rsidR="005559E9" w:rsidRPr="004151A5">
        <w:rPr>
          <w:rFonts w:eastAsiaTheme="minorEastAsia" w:cstheme="minorBidi"/>
          <w:noProof/>
          <w:color w:val="000000" w:themeColor="text1"/>
        </w:rPr>
        <w:t>(Prinz et al., 2009)</w:t>
      </w:r>
      <w:r w:rsidR="001C4AF8" w:rsidRPr="004151A5">
        <w:rPr>
          <w:rFonts w:eastAsiaTheme="minorEastAsia" w:cstheme="minorBidi"/>
          <w:i/>
          <w:color w:val="000000" w:themeColor="text1"/>
        </w:rPr>
        <w:fldChar w:fldCharType="end"/>
      </w:r>
      <w:r w:rsidR="58849A44" w:rsidRPr="004151A5">
        <w:rPr>
          <w:rFonts w:eastAsiaTheme="minorEastAsia" w:cstheme="minorBidi"/>
          <w:color w:val="000000" w:themeColor="text1"/>
        </w:rPr>
        <w:t xml:space="preserve"> ha</w:t>
      </w:r>
      <w:r w:rsidR="7F3125C3" w:rsidRPr="004151A5">
        <w:rPr>
          <w:rFonts w:eastAsiaTheme="minorEastAsia" w:cstheme="minorBidi"/>
          <w:color w:val="000000" w:themeColor="text1"/>
        </w:rPr>
        <w:t>s</w:t>
      </w:r>
      <w:r w:rsidR="58849A44" w:rsidRPr="004151A5">
        <w:rPr>
          <w:rFonts w:eastAsiaTheme="minorEastAsia" w:cstheme="minorBidi"/>
          <w:color w:val="000000" w:themeColor="text1"/>
        </w:rPr>
        <w:t xml:space="preserve"> been shown to reduce child maltreatment, a</w:t>
      </w:r>
      <w:r w:rsidR="466EA4D4" w:rsidRPr="004151A5">
        <w:rPr>
          <w:rFonts w:eastAsiaTheme="minorEastAsia" w:cstheme="minorBidi"/>
          <w:color w:val="000000" w:themeColor="text1"/>
        </w:rPr>
        <w:t>nd may reduce child sex abuse</w:t>
      </w:r>
      <w:r w:rsidR="00E25DA6" w:rsidRPr="004151A5">
        <w:rPr>
          <w:rFonts w:eastAsiaTheme="minorEastAsia" w:cstheme="minorBidi"/>
          <w:color w:val="000000" w:themeColor="text1"/>
        </w:rPr>
        <w:t>,</w:t>
      </w:r>
      <w:r w:rsidR="466EA4D4" w:rsidRPr="004151A5">
        <w:rPr>
          <w:rFonts w:eastAsiaTheme="minorEastAsia" w:cstheme="minorBidi"/>
          <w:color w:val="000000" w:themeColor="text1"/>
        </w:rPr>
        <w:t xml:space="preserve"> although further research is needed.</w:t>
      </w:r>
    </w:p>
    <w:p w14:paraId="62FA9851" w14:textId="22676220" w:rsidR="00451DAC" w:rsidRDefault="00607F48" w:rsidP="004151A5">
      <w:pPr>
        <w:pStyle w:val="LTU-Body10pt"/>
        <w:rPr>
          <w:rStyle w:val="normaltextrun"/>
        </w:rPr>
      </w:pPr>
      <w:r w:rsidRPr="00A429E0">
        <w:rPr>
          <w:rStyle w:val="normaltextrun"/>
          <w:b/>
          <w:i/>
          <w:iCs/>
        </w:rPr>
        <w:t>Nurse home visiting</w:t>
      </w:r>
      <w:r w:rsidR="1D553722" w:rsidRPr="00A429E0">
        <w:rPr>
          <w:rStyle w:val="normaltextrun"/>
          <w:b/>
          <w:i/>
          <w:iCs/>
        </w:rPr>
        <w:t xml:space="preserve"> programs</w:t>
      </w:r>
      <w:r w:rsidRPr="00A429E0">
        <w:rPr>
          <w:rStyle w:val="normaltextrun"/>
          <w:b/>
          <w:i/>
          <w:iCs/>
        </w:rPr>
        <w:t>:</w:t>
      </w:r>
      <w:r w:rsidRPr="00A429E0">
        <w:rPr>
          <w:rStyle w:val="normaltextrun"/>
        </w:rPr>
        <w:t xml:space="preserve"> </w:t>
      </w:r>
      <w:r w:rsidR="00B95DBB" w:rsidRPr="006A192A">
        <w:rPr>
          <w:rStyle w:val="normaltextrun"/>
        </w:rPr>
        <w:t>There is strong evidence for nurse home visiting programs with vulnerable groups.</w:t>
      </w:r>
      <w:r w:rsidR="00B95DBB" w:rsidRPr="32AEEF99">
        <w:rPr>
          <w:rStyle w:val="normaltextrun"/>
        </w:rPr>
        <w:t xml:space="preserve"> </w:t>
      </w:r>
      <w:r w:rsidRPr="006A192A">
        <w:rPr>
          <w:rStyle w:val="normaltextrun"/>
        </w:rPr>
        <w:t xml:space="preserve">Parenting and caregiver support or outreach programs such as </w:t>
      </w:r>
      <w:r w:rsidRPr="00AB1956">
        <w:rPr>
          <w:rStyle w:val="normaltextrun"/>
          <w:i/>
          <w:iCs/>
        </w:rPr>
        <w:t xml:space="preserve">Nurse Family Partnership </w:t>
      </w:r>
      <w:r w:rsidRPr="00C77D4E">
        <w:rPr>
          <w:rStyle w:val="normaltextrun"/>
          <w:iCs/>
        </w:rPr>
        <w:t>(NFP</w:t>
      </w:r>
      <w:r w:rsidR="00D12B25">
        <w:rPr>
          <w:rStyle w:val="normaltextrun"/>
          <w:iCs/>
        </w:rPr>
        <w:t>;</w:t>
      </w:r>
      <w:r w:rsidR="00D12B25">
        <w:rPr>
          <w:rStyle w:val="normaltextrun"/>
        </w:rPr>
        <w:t xml:space="preserve"> </w:t>
      </w:r>
      <w:r>
        <w:rPr>
          <w:rStyle w:val="normaltextrun"/>
        </w:rPr>
        <w:t xml:space="preserve">US) </w:t>
      </w:r>
      <w:r w:rsidRPr="006A192A">
        <w:rPr>
          <w:rStyle w:val="normaltextrun"/>
        </w:rPr>
        <w:t>home visiting intervention can improve a range of maternal and child health, development, wellbeing, parenting</w:t>
      </w:r>
      <w:r w:rsidR="00101F1F">
        <w:rPr>
          <w:rStyle w:val="normaltextrun"/>
        </w:rPr>
        <w:t>/caregiving</w:t>
      </w:r>
      <w:r w:rsidRPr="006A192A">
        <w:rPr>
          <w:rStyle w:val="normaltextrun"/>
        </w:rPr>
        <w:t xml:space="preserve"> and child safety outcomes, including reduced intimate partner violence </w:t>
      </w:r>
      <w:r w:rsidRPr="006A192A">
        <w:rPr>
          <w:rStyle w:val="normaltextrun"/>
        </w:rPr>
        <w:fldChar w:fldCharType="begin" w:fldLock="1"/>
      </w:r>
      <w:r w:rsidR="00082EEB">
        <w:rPr>
          <w:rStyle w:val="normaltextrun"/>
        </w:rPr>
        <w:instrText>ADDIN CSL_CITATION {"citationItems":[{"id":"ITEM-1","itemData":{"DOI":"10.1371/journal.pone.0078185","ISSN":"1932-6203","PMID":"24205150","abstract":"BACKGROUND: Expectant mothers and mothers of young children are especially vulnerable to intimate partner violence (IPV). The nurse-family partnership (NFP) is a home visitation program in the United States effective for the prevention of adverse child health outcomes. Evidence regarding the effect of nurse home visiting on IPV is inconsistent. This study aims to study the effect of VoorZorg, the Dutch NFP, on IPV. METHODS: A random sample of 460 eligible disadvantaged women &lt;26 years, with no previous live births, was randomized. Women in the control group (C; n=223) received usual care; women in the intervention group (I; n=237) received usual care plus nurse home visits periodically during pregnancy and until the child's second birthday. RESULTS: At 32 weeks of pregnancy, women in the intervention group self-reported significantly less IPV victimization than women in the control group in: level 2 psychological aggression (C: 56% vs. I: 39%), physical assault level 1 (C: 58% vs. I: 40%) and level 2 (C: 31% vs. I: 20%), and level 1 sexual coercion (C: 16% vs. I: 8%). Furthermore, women in the intervention group reported significantly less IPV perpetration in: level 2 psychological aggression (C: 60% vs. I: 46%), level 1 physical assault (C: 65% vs. I: 52%), and level 1 injury (C: 27% vs. I: 17%). At 24 months after birth, IPV victimization was significantly lower in the intervention group for level 1 physical assault (C: 44% vs. I: 26%), and IPV perpetration was significantly lower for level 1 sexual assault (C: 18% vs. I: 3%). Multilevel analyses showed a significant improvement in IPV victimization and perpetration among women in the intervention group at 24 months after birth. CONCLUSION: VoorZorg, compared with the usual care, is effective in reducing IPV during pregnancy and in the two years after birth among young high-risk women. TRIAL REGISTRATION: Dutch Trial Register NTR854 http://www.trialregister.nl/trialreg/admin/rctview.asp?TC=854.","author":[{"dropping-particle":"","family":"Mejdoubi","given":"J","non-dropping-particle":"","parse-names":false,"suffix":""},{"dropping-particle":"","family":"Heijkant","given":"S C","non-dropping-particle":"van den","parse-names":false,"suffix":""},{"dropping-particle":"","family":"Leerdam","given":"F J","non-dropping-particle":"van","parse-names":false,"suffix":""},{"dropping-particle":"","family":"Heymans","given":"M W","non-dropping-particle":"","parse-names":false,"suffix":""},{"dropping-particle":"","family":"Hirasing","given":"R A","non-dropping-particle":"","parse-names":false,"suffix":""},{"dropping-particle":"","family":"Crijnen","given":"A A","non-dropping-particle":"","parse-names":false,"suffix":""}],"container-title":"PLoS ONE","id":"ITEM-1","issue":"10","issued":{"date-parts":[["2013"]]},"language":"English","note":"Mejdoubi, Jamila van den Heijkant, Silvia C C M van Leerdam, Frank J M Heymans, Martijn W Hirasing, Remy A Crijnen, Alfons A M","page":"e78185","title":"Effect of nurse home visits vs. usual care on reducing intimate partner violence in young high-risk pregnant women: A randomized controlled trial","type":"article-journal","volume":"8"},"uris":["http://www.mendeley.com/documents/?uuid=9726fdbb-00f2-3555-896e-434e1473ac33"]}],"mendeley":{"formattedCitation":"(Mejdoubi et al., 2013)","plainTextFormattedCitation":"(Mejdoubi et al., 2013)","previouslyFormattedCitation":"(Mejdoubi et al., 2013)"},"properties":{"noteIndex":0},"schema":"https://github.com/citation-style-language/schema/raw/master/csl-citation.json"}</w:instrText>
      </w:r>
      <w:r w:rsidRPr="006A192A">
        <w:rPr>
          <w:rStyle w:val="normaltextrun"/>
        </w:rPr>
        <w:fldChar w:fldCharType="separate"/>
      </w:r>
      <w:r w:rsidRPr="006A192A">
        <w:rPr>
          <w:rStyle w:val="normaltextrun"/>
          <w:noProof/>
        </w:rPr>
        <w:t>(Mejdoubi et al., 2013)</w:t>
      </w:r>
      <w:r w:rsidRPr="006A192A">
        <w:rPr>
          <w:rStyle w:val="normaltextrun"/>
        </w:rPr>
        <w:fldChar w:fldCharType="end"/>
      </w:r>
      <w:r w:rsidRPr="006A192A">
        <w:rPr>
          <w:rStyle w:val="normaltextrun"/>
        </w:rPr>
        <w:t xml:space="preserve"> and child maltreatment </w:t>
      </w:r>
      <w:r w:rsidRPr="006A192A">
        <w:rPr>
          <w:rStyle w:val="normaltextrun"/>
        </w:rPr>
        <w:fldChar w:fldCharType="begin" w:fldLock="1"/>
      </w:r>
      <w:r w:rsidR="00367D7A">
        <w:rPr>
          <w:rStyle w:val="normaltextrun"/>
        </w:rPr>
        <w:instrText>ADDIN CSL_CITATION {"citationItems":[{"id":"ITEM-1","itemData":{"DOI":"10.1007/s11121-015-0572-9","ISSN":"13894986","PMID":"26076883","abstract":"Nurse-Family Partnership (NFP) targets intensive prenatal and postnatal home visitation by registered nurses to low-income first-time mothers. Through 2013, 177,517 pregnant women enrolled in NFP programs. This article projects how NFP will affect their lives and the lives of their babies. NFP has been evaluated in six randomized trials and several more limited analyses of operational programs. We systematically reviewed evaluation findings on 21 outcomes and calculated effects on three more. We added outcome data from the NFP national data system and personal communications that filled outcome data gaps on some trials. We assumed effectiveness in replication declined by 21.8 %, proportionally with the decline in mean visits per family from trials to operational programs. By 2031, NFP program enrollments in 1996–2013 will prevent an estimated 500 infant deaths, 10,000 preterm births, 13,000 dangerous closely spaced second births, 4700 abortions, 42,000 child maltreatment incidents, 36,000 intimate partner violence incidents, 90,000 violent crimes by youth, 594,000 property and public order crimes (e.g., vandalism, loitering) by youth, 36,000 youth arrests, and 41,000 person-years of youth substance abuse. They will reduce smoking during pregnancy, pregnancy complications, childhood injuries, and use of subsidized child care; improve language development; increase breast-feeding; and raise compliance with immunization schedules. They will eliminate the need for 4.8 million person-months of child Medicaid spending and reduce estimated spending on Medicaid, TANF, and food stamps by $3.0 billion (present values in 2010 dollars). By comparison, NFP cost roughly $1.6 billion. Thus, NFP appears to be a sound investment. It saves money while enriching the lives of participating low-income mothers and their offspring and benefiting society more broadly by reducing crime and safety net demand.","author":[{"dropping-particle":"","family":"Miller","given":"Ted R.","non-dropping-particle":"","parse-names":false,"suffix":""}],"container-title":"Prevention Science","id":"ITEM-1","issue":"6","issued":{"date-parts":[["2015","8","22"]]},"page":"765-777","publisher":"Springer New York LLC","title":"Projected outcomes of nurse-family partnership home visitation during 1996–2013, USA","type":"article-journal","volume":"16"},"uris":["http://www.mendeley.com/documents/?uuid=ab542727-7a08-3805-bc95-47ad097d00b0"]},{"id":"ITEM-2","itemData":{"DOI":"10.1080/14043850802450096","ISSN":"1404-3858","abstract":"Pregnancy and the early years of the child's life offer an opportune time to prevent a host of adverse maternal and child outcomes that are important in their own right, but that also have significant implications for the development of criminal behaviour. This paper summarizes a 30-year programme of research that has attempted to improve the health and development of mothers and infants and their future life prospects with prenatal and infancy home visiting by nurses. The programme, known today as the Nurse-Family Partnership, is designed for low-income mothers who have had no previous live births. The home visiting nurses have three major goals: to improve the outcomes of pregnancy by helping women improve their prenatal health; to improve the child's health and development by helping parents provide more sensitive and competent care of the child; and to improve parental life-course by helping parents plan future pregnancies, complete their educations, and find work. Given consistent effects on prenatal health behaviours, parental care of the child, child abuse and neglect, child health and development, maternal life-course, and criminal involvement of the mothers and children, the programme is now being offered for public investment throughout the United States, where careful attention is being given to ensuring that the programme is being conducted in accordance with the programme model tested in the randomized trials. The programme also is being adapted, developed, and tested in five countries outside of the US: the Netherlands, Germany, England, Australia, and Canada, where programmatic adjustments are being made to accommodate different populations served and health and human service contexts. We believe it is important to test this programme in randomized controlled trials in these new settings before it is offered for public investment. © Taylor &amp; Francis.","author":[{"dropping-particle":"","family":"Olds","given":"David L.","non-dropping-particle":"","parse-names":false,"suffix":""}],"container-title":"Journal of Scandinavian Studies in Criminology and Crime Prevention","id":"ITEM-2","issue":"sup1","issued":{"date-parts":[["2008","12"]]},"page":"2-24","publisher":"Taylor &amp; Francis","title":"Preventing child maltreatment and crime with prenatal and infancy support of parents: The Nurse–Family Partnership","type":"article-journal","volume":"9"},"uris":["http://www.mendeley.com/documents/?uuid=8cefc155-dc99-314e-809e-d8aa94774437"]}],"mendeley":{"formattedCitation":"(T. R. Miller, 2015; Olds, 2008)","plainTextFormattedCitation":"(T. R. Miller, 2015; Olds, 2008)","previouslyFormattedCitation":"(T. R. Miller, 2015; Olds, 2008)"},"properties":{"noteIndex":0},"schema":"https://github.com/citation-style-language/schema/raw/master/csl-citation.json"}</w:instrText>
      </w:r>
      <w:r w:rsidRPr="006A192A">
        <w:rPr>
          <w:rStyle w:val="normaltextrun"/>
        </w:rPr>
        <w:fldChar w:fldCharType="separate"/>
      </w:r>
      <w:r w:rsidRPr="006A192A">
        <w:rPr>
          <w:rStyle w:val="normaltextrun"/>
          <w:noProof/>
        </w:rPr>
        <w:t>(T. R. Miller, 2015; Olds, 2008)</w:t>
      </w:r>
      <w:r w:rsidRPr="006A192A">
        <w:rPr>
          <w:rStyle w:val="normaltextrun"/>
        </w:rPr>
        <w:fldChar w:fldCharType="end"/>
      </w:r>
      <w:r w:rsidRPr="006A192A">
        <w:rPr>
          <w:rStyle w:val="normaltextrun"/>
        </w:rPr>
        <w:t xml:space="preserve">. Nurse home visiting programs like NFP are often delivered over a sustained period to </w:t>
      </w:r>
      <w:r w:rsidR="00D12B25" w:rsidRPr="006A192A">
        <w:rPr>
          <w:rStyle w:val="normaltextrun"/>
        </w:rPr>
        <w:t>first</w:t>
      </w:r>
      <w:r w:rsidR="00D12B25">
        <w:rPr>
          <w:rStyle w:val="normaltextrun"/>
        </w:rPr>
        <w:t>-</w:t>
      </w:r>
      <w:r w:rsidRPr="006A192A">
        <w:rPr>
          <w:rStyle w:val="normaltextrun"/>
        </w:rPr>
        <w:t xml:space="preserve">time, </w:t>
      </w:r>
      <w:r w:rsidR="50D52110" w:rsidRPr="4BB59D48">
        <w:rPr>
          <w:rStyle w:val="normaltextrun"/>
        </w:rPr>
        <w:t>vulnerable</w:t>
      </w:r>
      <w:r w:rsidR="7225360A" w:rsidRPr="4BB59D48">
        <w:rPr>
          <w:rStyle w:val="normaltextrun"/>
        </w:rPr>
        <w:t xml:space="preserve"> </w:t>
      </w:r>
      <w:r w:rsidRPr="006A192A">
        <w:rPr>
          <w:rStyle w:val="normaltextrun"/>
        </w:rPr>
        <w:t xml:space="preserve">parents </w:t>
      </w:r>
      <w:r w:rsidR="005D1C8C">
        <w:rPr>
          <w:rStyle w:val="normaltextrun"/>
        </w:rPr>
        <w:t xml:space="preserve">and caregivers </w:t>
      </w:r>
      <w:r w:rsidRPr="006A192A">
        <w:rPr>
          <w:rStyle w:val="normaltextrun"/>
        </w:rPr>
        <w:t>and are provided by qualified nurse midwives. These programs work to reduce abuse by facilitating parenting</w:t>
      </w:r>
      <w:r w:rsidR="005D1C8C">
        <w:rPr>
          <w:rStyle w:val="normaltextrun"/>
        </w:rPr>
        <w:t>/caregiver</w:t>
      </w:r>
      <w:r w:rsidRPr="006A192A">
        <w:rPr>
          <w:rStyle w:val="normaltextrun"/>
        </w:rPr>
        <w:t xml:space="preserve"> self-efficacy, addressing the social determinants of health </w:t>
      </w:r>
      <w:r w:rsidR="0081295B">
        <w:rPr>
          <w:rStyle w:val="normaltextrun"/>
        </w:rPr>
        <w:t>(</w:t>
      </w:r>
      <w:r w:rsidRPr="006A192A">
        <w:rPr>
          <w:rStyle w:val="normaltextrun"/>
        </w:rPr>
        <w:t>e.g., access and support with everyday household stressors, which lead to greater parental</w:t>
      </w:r>
      <w:r w:rsidR="005D1C8C">
        <w:rPr>
          <w:rStyle w:val="normaltextrun"/>
        </w:rPr>
        <w:t>/caregiver</w:t>
      </w:r>
      <w:r w:rsidRPr="006A192A">
        <w:rPr>
          <w:rStyle w:val="normaltextrun"/>
        </w:rPr>
        <w:t xml:space="preserve"> competence and sensitive care</w:t>
      </w:r>
      <w:r w:rsidR="0081295B">
        <w:rPr>
          <w:rStyle w:val="normaltextrun"/>
        </w:rPr>
        <w:t>)</w:t>
      </w:r>
      <w:r w:rsidRPr="006A192A">
        <w:rPr>
          <w:rStyle w:val="normaltextrun"/>
        </w:rPr>
        <w:t xml:space="preserve">. </w:t>
      </w:r>
    </w:p>
    <w:p w14:paraId="404F48AE" w14:textId="77777777" w:rsidR="00746DD5" w:rsidRPr="007A4E07" w:rsidRDefault="00746DD5" w:rsidP="00292F96">
      <w:pPr>
        <w:pStyle w:val="Pullouts"/>
        <w:rPr>
          <w:caps/>
        </w:rPr>
      </w:pPr>
      <w:r w:rsidRPr="007A4E07">
        <w:t>Example:</w:t>
      </w:r>
    </w:p>
    <w:p w14:paraId="3CA40B29" w14:textId="5B637102" w:rsidR="00746DD5" w:rsidRPr="00B95DBB" w:rsidRDefault="00292F96" w:rsidP="00292F96">
      <w:pPr>
        <w:pStyle w:val="Pullouts"/>
        <w:rPr>
          <w:caps/>
        </w:rPr>
      </w:pPr>
      <w:r>
        <w:t xml:space="preserve">- </w:t>
      </w:r>
      <w:r w:rsidR="00746DD5" w:rsidRPr="007A4E07">
        <w:t>Nurse home visiting programs</w:t>
      </w:r>
    </w:p>
    <w:p w14:paraId="7C4CF676" w14:textId="7C4AAC35" w:rsidR="00746DD5" w:rsidRPr="007A4E07" w:rsidRDefault="00292F96" w:rsidP="00292F96">
      <w:pPr>
        <w:pStyle w:val="Pullouts"/>
        <w:rPr>
          <w:caps/>
        </w:rPr>
      </w:pPr>
      <w:r>
        <w:t xml:space="preserve">- </w:t>
      </w:r>
      <w:r w:rsidR="00746DD5" w:rsidRPr="007A4E07">
        <w:t xml:space="preserve">Triple </w:t>
      </w:r>
      <w:r w:rsidR="00746DD5">
        <w:t>P</w:t>
      </w:r>
      <w:r w:rsidR="00746DD5" w:rsidRPr="007A4E07">
        <w:rPr>
          <w:caps/>
        </w:rPr>
        <w:t xml:space="preserve"> </w:t>
      </w:r>
    </w:p>
    <w:p w14:paraId="7976094A" w14:textId="77777777" w:rsidR="00746DD5" w:rsidRDefault="00746DD5" w:rsidP="004151A5">
      <w:pPr>
        <w:pStyle w:val="LTU-Body10pt"/>
        <w:rPr>
          <w:rStyle w:val="normaltextrun"/>
        </w:rPr>
      </w:pPr>
    </w:p>
    <w:p w14:paraId="46381F78" w14:textId="77777777" w:rsidR="00024A77" w:rsidRDefault="00024A77" w:rsidP="00024A77">
      <w:pPr>
        <w:pStyle w:val="DSSBody"/>
        <w:sectPr w:rsidR="00024A77" w:rsidSect="00451DAC">
          <w:type w:val="continuous"/>
          <w:pgSz w:w="11906" w:h="16838" w:code="9"/>
          <w:pgMar w:top="2240" w:right="709" w:bottom="1276" w:left="1418" w:header="709" w:footer="624" w:gutter="0"/>
          <w:cols w:space="708"/>
          <w:docGrid w:linePitch="360"/>
        </w:sectPr>
      </w:pPr>
    </w:p>
    <w:p w14:paraId="3DA26C50" w14:textId="282F4162" w:rsidR="00024A77" w:rsidRDefault="00C15415" w:rsidP="00024A77">
      <w:pPr>
        <w:pStyle w:val="DSSBody"/>
        <w:sectPr w:rsidR="00024A77" w:rsidSect="00451DAC">
          <w:type w:val="continuous"/>
          <w:pgSz w:w="16838" w:h="11906" w:orient="landscape" w:code="9"/>
          <w:pgMar w:top="1418" w:right="2240" w:bottom="709" w:left="1276" w:header="709" w:footer="624" w:gutter="0"/>
          <w:cols w:space="708"/>
          <w:docGrid w:linePitch="360"/>
        </w:sectPr>
      </w:pPr>
      <w:r>
        <w:rPr>
          <w:noProof/>
          <w:lang w:val="en-AU" w:eastAsia="en-AU"/>
        </w:rPr>
        <w:lastRenderedPageBreak/>
        <mc:AlternateContent>
          <mc:Choice Requires="wps">
            <w:drawing>
              <wp:anchor distT="0" distB="0" distL="114300" distR="114300" simplePos="0" relativeHeight="251662362" behindDoc="0" locked="0" layoutInCell="1" allowOverlap="1" wp14:anchorId="2933CE4A" wp14:editId="02BBFD38">
                <wp:simplePos x="0" y="0"/>
                <wp:positionH relativeFrom="column">
                  <wp:posOffset>-84118</wp:posOffset>
                </wp:positionH>
                <wp:positionV relativeFrom="paragraph">
                  <wp:posOffset>5728970</wp:posOffset>
                </wp:positionV>
                <wp:extent cx="8183544" cy="531628"/>
                <wp:effectExtent l="0" t="0" r="0" b="1905"/>
                <wp:wrapNone/>
                <wp:docPr id="14" name="Text Box 14" descr="Figure 3:  Education for behaviour change"/>
                <wp:cNvGraphicFramePr/>
                <a:graphic xmlns:a="http://schemas.openxmlformats.org/drawingml/2006/main">
                  <a:graphicData uri="http://schemas.microsoft.com/office/word/2010/wordprocessingShape">
                    <wps:wsp>
                      <wps:cNvSpPr txBox="1"/>
                      <wps:spPr>
                        <a:xfrm>
                          <a:off x="0" y="0"/>
                          <a:ext cx="8183544" cy="531628"/>
                        </a:xfrm>
                        <a:prstGeom prst="rect">
                          <a:avLst/>
                        </a:prstGeom>
                        <a:solidFill>
                          <a:prstClr val="white"/>
                        </a:solidFill>
                        <a:ln>
                          <a:noFill/>
                        </a:ln>
                      </wps:spPr>
                      <wps:txbx>
                        <w:txbxContent>
                          <w:p w14:paraId="57CAE982" w14:textId="7CD9C5F7" w:rsidR="002423D7" w:rsidRPr="00D46F8D" w:rsidRDefault="002423D7" w:rsidP="00C23FB9">
                            <w:pPr>
                              <w:pStyle w:val="Caption"/>
                              <w:rPr>
                                <w:rFonts w:ascii="Calibri" w:eastAsiaTheme="minorHAnsi" w:hAnsi="Calibri" w:cs="Segoe UI Historic"/>
                                <w:noProof/>
                                <w:color w:val="000000"/>
                                <w:sz w:val="24"/>
                                <w:szCs w:val="20"/>
                                <w:lang w:val="en-GB"/>
                              </w:rPr>
                            </w:pPr>
                            <w:bookmarkStart w:id="55" w:name="_Toc65156130"/>
                            <w:r>
                              <w:t xml:space="preserve">Figure </w:t>
                            </w:r>
                            <w:r w:rsidR="00B95DBB">
                              <w:t>3</w:t>
                            </w:r>
                            <w:r w:rsidR="00746DD5">
                              <w:t xml:space="preserve">: </w:t>
                            </w:r>
                            <w:r>
                              <w:t xml:space="preserve"> Education for behaviour change</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33CE4A" id="Text Box 14" o:spid="_x0000_s1028" type="#_x0000_t202" alt="Figure 3:  Education for behaviour change" style="position:absolute;margin-left:-6.6pt;margin-top:451.1pt;width:644.35pt;height:41.85pt;z-index:251662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" stroked="f">
                <v:textbox inset="0,0,0,0">
                  <w:txbxContent>
                    <w:p w14:paraId="57CAE982" w14:textId="7CD9C5F7" w:rsidR="002423D7" w:rsidRPr="00D46F8D" w:rsidRDefault="002423D7" w:rsidP="00C23FB9">
                      <w:pPr>
                        <w:pStyle w:val="Caption"/>
                        <w:rPr>
                          <w:rFonts w:ascii="Calibri" w:eastAsiaTheme="minorHAnsi" w:hAnsi="Calibri" w:cs="Segoe UI Historic"/>
                          <w:noProof/>
                          <w:color w:val="000000"/>
                          <w:sz w:val="24"/>
                          <w:szCs w:val="20"/>
                          <w:lang w:val="en-GB"/>
                        </w:rPr>
                      </w:pPr>
                      <w:bookmarkStart w:id="57" w:name="_Toc65156130"/>
                      <w:r>
                        <w:t xml:space="preserve">Figure </w:t>
                      </w:r>
                      <w:r w:rsidR="00B95DBB">
                        <w:t>3</w:t>
                      </w:r>
                      <w:r w:rsidR="00746DD5">
                        <w:t xml:space="preserve">: </w:t>
                      </w:r>
                      <w:r>
                        <w:t xml:space="preserve"> Education for behaviour change</w:t>
                      </w:r>
                      <w:bookmarkEnd w:id="57"/>
                    </w:p>
                  </w:txbxContent>
                </v:textbox>
              </v:shape>
            </w:pict>
          </mc:Fallback>
        </mc:AlternateContent>
      </w:r>
      <w:r>
        <w:rPr>
          <w:noProof/>
          <w:lang w:val="en-AU" w:eastAsia="en-AU"/>
        </w:rPr>
        <w:drawing>
          <wp:anchor distT="0" distB="0" distL="114300" distR="114300" simplePos="0" relativeHeight="251668506" behindDoc="0" locked="0" layoutInCell="1" allowOverlap="1" wp14:anchorId="21DD4164" wp14:editId="2FB81C4D">
            <wp:simplePos x="0" y="0"/>
            <wp:positionH relativeFrom="column">
              <wp:posOffset>0</wp:posOffset>
            </wp:positionH>
            <wp:positionV relativeFrom="paragraph">
              <wp:posOffset>74295</wp:posOffset>
            </wp:positionV>
            <wp:extent cx="9113520" cy="5490845"/>
            <wp:effectExtent l="0" t="0" r="5080" b="0"/>
            <wp:wrapNone/>
            <wp:docPr id="32" name="Picture 32" descr="Diagram&#10;&#10;Education for behaviour change&#10;3 columns headed Activities/Interventions, Short-term Outocmes, Long-term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Education for behaviour change&#10;3 columns headed Activities/Interventions, Short-term Outocmes, Long-term Outcomes."/>
                    <pic:cNvPicPr/>
                  </pic:nvPicPr>
                  <pic:blipFill>
                    <a:blip r:embed="rId27">
                      <a:extLst>
                        <a:ext uri="{28A0092B-C50C-407E-A947-70E740481C1C}">
                          <a14:useLocalDpi xmlns:a14="http://schemas.microsoft.com/office/drawing/2010/main" val="0"/>
                        </a:ext>
                      </a:extLst>
                    </a:blip>
                    <a:stretch>
                      <a:fillRect/>
                    </a:stretch>
                  </pic:blipFill>
                  <pic:spPr>
                    <a:xfrm>
                      <a:off x="0" y="0"/>
                      <a:ext cx="9113520" cy="5490845"/>
                    </a:xfrm>
                    <a:prstGeom prst="rect">
                      <a:avLst/>
                    </a:prstGeom>
                  </pic:spPr>
                </pic:pic>
              </a:graphicData>
            </a:graphic>
            <wp14:sizeRelH relativeFrom="page">
              <wp14:pctWidth>0</wp14:pctWidth>
            </wp14:sizeRelH>
            <wp14:sizeRelV relativeFrom="page">
              <wp14:pctHeight>0</wp14:pctHeight>
            </wp14:sizeRelV>
          </wp:anchor>
        </w:drawing>
      </w:r>
    </w:p>
    <w:p w14:paraId="2C6F0E95" w14:textId="38F1BABE" w:rsidR="008A682F" w:rsidRPr="00DE0448" w:rsidRDefault="003C1A10" w:rsidP="00A429E0">
      <w:pPr>
        <w:pStyle w:val="LTU-Subhead1"/>
      </w:pPr>
      <w:bookmarkStart w:id="56" w:name="_Toc67035851"/>
      <w:r w:rsidRPr="00DE0448">
        <w:lastRenderedPageBreak/>
        <w:t xml:space="preserve">Education for </w:t>
      </w:r>
      <w:r w:rsidRPr="00A429E0">
        <w:t>Behaviour</w:t>
      </w:r>
      <w:r w:rsidRPr="00DE0448">
        <w:t xml:space="preserve"> Change</w:t>
      </w:r>
      <w:bookmarkStart w:id="57" w:name="_Hlk63421013"/>
      <w:bookmarkEnd w:id="56"/>
    </w:p>
    <w:p w14:paraId="280A6228" w14:textId="77777777" w:rsidR="00227DC8" w:rsidRPr="00A429E0" w:rsidRDefault="003C1A10" w:rsidP="00A429E0">
      <w:pPr>
        <w:pStyle w:val="LTU-Subhead2"/>
      </w:pPr>
      <w:r w:rsidRPr="00DE0448">
        <w:t>Rationale</w:t>
      </w:r>
    </w:p>
    <w:p w14:paraId="1185EB67" w14:textId="0408F8D7" w:rsidR="003C1A10" w:rsidRDefault="003C1A10" w:rsidP="003C1A10">
      <w:pPr>
        <w:pStyle w:val="LTU-Body10pt"/>
      </w:pPr>
      <w:r w:rsidRPr="006A192A">
        <w:t xml:space="preserve">Education is a logical method of changing relationship and SVH knowledge, </w:t>
      </w:r>
      <w:r w:rsidR="00DE0F5A" w:rsidRPr="006A192A">
        <w:t>attitudes,</w:t>
      </w:r>
      <w:r w:rsidRPr="006A192A">
        <w:t xml:space="preserve"> and behaviours. Programs that support schools</w:t>
      </w:r>
      <w:r w:rsidR="4B43A5F0">
        <w:t xml:space="preserve"> and</w:t>
      </w:r>
      <w:r w:rsidRPr="006A192A">
        <w:t xml:space="preserve"> educators and promote gender equality</w:t>
      </w:r>
      <w:r>
        <w:t xml:space="preserve">, healthy masculinities and </w:t>
      </w:r>
      <w:r w:rsidRPr="006A192A">
        <w:t>safe and respectful relationships among young people can influence individuals and future generations. Although many of these school-based education programs exist in Australia, there is a lack of consistency across school and university settings, with varied or no curricula for some</w:t>
      </w:r>
      <w:r>
        <w:t xml:space="preserve"> educational institutions</w:t>
      </w:r>
      <w:r w:rsidRPr="006A192A">
        <w:t xml:space="preserve">. Despite existing education programs, Australian evidence on community attitudes towards VAW suggests young people’s knowledge of VAW has declined rather than improved </w:t>
      </w:r>
      <w:r>
        <w:fldChar w:fldCharType="begin" w:fldLock="1"/>
      </w:r>
      <w:r>
        <w:instrText>ADDIN CSL_CITATION {"citationItems":[{"id":"ITEM-1","itemData":{"author":[{"dropping-particle":"","family":"Webster","given":"Kim","non-dropping-particle":"","parse-names":false,"suffix":""},{"dropping-particle":"","family":"Diemer","given":"K.","non-dropping-particle":"","parse-names":false,"suffix":""},{"dropping-particle":"","family":"Honey","given":"N.","non-dropping-particle":"","parse-names":false,"suffix":""},{"dropping-particle":"","family":"Mannix","given":"S.","non-dropping-particle":"","parse-names":false,"suffix":""},{"dropping-particle":"","family":"Mickle","given":"J.","non-dropping-particle":"","parse-names":false,"suffix":""},{"dropping-particle":"","family":"Morgan","given":"J.","non-dropping-particle":"","parse-names":false,"suffix":""},{"dropping-particle":"","family":"Parkes","given":"A.","non-dropping-particle":"","parse-names":false,"suffix":""},{"dropping-particle":"","family":"Politoff","given":"V.","non-dropping-particle":"","parse-names":false,"suffix":""},{"dropping-particle":"","family":"Powell","given":"A.","non-dropping-particle":"","parse-names":false,"suffix":""},{"dropping-particle":"","family":"Stubbs","given":"J.","non-dropping-particle":"","parse-names":false,"suffix":""},{"dropping-particle":"","family":"Ward","given":"A","non-dropping-particle":"","parse-names":false,"suffix":""}],"id":"ITEM-1","issued":{"date-parts":[["2017"]]},"publisher":"ANROWS","publisher-place":"Sydney","title":"Australians’ attitudes to violence against women and gender equality. Findings from the 2017 National Community Attitudes Survey towards Violence against Women Survey","type":"report"},"uris":["http://www.mendeley.com/documents/?uuid=4a4412d6-f4ae-3504-8e6b-f57bfe88db6b"]}],"mendeley":{"formattedCitation":"(Webster et al., 2017)","plainTextFormattedCitation":"(Webster et al., 2017)","previouslyFormattedCitation":"(Webster et al., 2017)"},"properties":{"noteIndex":0},"schema":"https://github.com/citation-style-language/schema/raw/master/csl-citation.json"}</w:instrText>
      </w:r>
      <w:r>
        <w:fldChar w:fldCharType="separate"/>
      </w:r>
      <w:r w:rsidRPr="00F964E6">
        <w:rPr>
          <w:noProof/>
        </w:rPr>
        <w:t>(Webster et al., 2017)</w:t>
      </w:r>
      <w:r>
        <w:fldChar w:fldCharType="end"/>
      </w:r>
      <w:r w:rsidRPr="006A192A">
        <w:t>. Confusion about consent and coercion remain, with 33% of people believing that “rape results from men being unable to control their need for sex” and 28% believe that when sexually aroused “men may be unaware a woman does not want to have sex”</w:t>
      </w:r>
      <w:r w:rsidR="003D4401">
        <w:t xml:space="preserve"> </w:t>
      </w:r>
      <w:r w:rsidR="003D4401">
        <w:fldChar w:fldCharType="begin" w:fldLock="1"/>
      </w:r>
      <w:r w:rsidR="00762B03">
        <w:instrText>ADDIN CSL_CITATION {"citationItems":[{"id":"ITEM-1","itemData":{"author":[{"dropping-particle":"","family":"Webster","given":"Kim","non-dropping-particle":"","parse-names":false,"suffix":""},{"dropping-particle":"","family":"Diemer","given":"K.","non-dropping-particle":"","parse-names":false,"suffix":""},{"dropping-particle":"","family":"Honey","given":"N.","non-dropping-particle":"","parse-names":false,"suffix":""},{"dropping-particle":"","family":"Mannix","given":"S.","non-dropping-particle":"","parse-names":false,"suffix":""},{"dropping-particle":"","family":"Mickle","given":"J.","non-dropping-particle":"","parse-names":false,"suffix":""},{"dropping-particle":"","family":"Morgan","given":"J.","non-dropping-particle":"","parse-names":false,"suffix":""},{"dropping-particle":"","family":"Parkes","given":"A.","non-dropping-particle":"","parse-names":false,"suffix":""},{"dropping-particle":"","family":"Politoff","given":"V.","non-dropping-particle":"","parse-names":false,"suffix":""},{"dropping-particle":"","family":"Powell","given":"A.","non-dropping-particle":"","parse-names":false,"suffix":""},{"dropping-particle":"","family":"Stubbs","given":"J.","non-dropping-particle":"","parse-names":false,"suffix":""},{"dropping-particle":"","family":"Ward","given":"A","non-dropping-particle":"","parse-names":false,"suffix":""}],"id":"ITEM-1","issued":{"date-parts":[["2017"]]},"publisher":"ANROWS","publisher-place":"Sydney","title":"Australians’ attitudes to violence against women and gender equality. Findings from the 2017 National Community Attitudes Survey towards Violence against Women Survey","type":"report"},"uris":["http://www.mendeley.com/documents/?uuid=4a4412d6-f4ae-3504-8e6b-f57bfe88db6b"]}],"mendeley":{"formattedCitation":"(Webster et al., 2017)","plainTextFormattedCitation":"(Webster et al., 2017)","previouslyFormattedCitation":"(Webster et al., 2017)"},"properties":{"noteIndex":0},"schema":"https://github.com/citation-style-language/schema/raw/master/csl-citation.json"}</w:instrText>
      </w:r>
      <w:r w:rsidR="003D4401">
        <w:fldChar w:fldCharType="separate"/>
      </w:r>
      <w:r w:rsidR="003D4401" w:rsidRPr="003D4401">
        <w:rPr>
          <w:noProof/>
        </w:rPr>
        <w:t>(Webster et al., 2017)</w:t>
      </w:r>
      <w:r w:rsidR="003D4401">
        <w:fldChar w:fldCharType="end"/>
      </w:r>
      <w:r w:rsidRPr="006A192A">
        <w:t>. These pervasive attitudes reinforce the need for further school</w:t>
      </w:r>
      <w:r w:rsidR="002137EE">
        <w:t>-</w:t>
      </w:r>
      <w:r w:rsidRPr="006A192A">
        <w:t xml:space="preserve"> and </w:t>
      </w:r>
      <w:r w:rsidR="002137EE" w:rsidRPr="006A192A">
        <w:t>community</w:t>
      </w:r>
      <w:r w:rsidR="002137EE">
        <w:t>-</w:t>
      </w:r>
      <w:r w:rsidRPr="006A192A">
        <w:t xml:space="preserve">level education in this area. Sexual violence and harassment at Australian universities is prevalent, with one in five students being sexually harassed in a university setting </w:t>
      </w:r>
      <w:r w:rsidRPr="006A192A">
        <w:fldChar w:fldCharType="begin" w:fldLock="1"/>
      </w:r>
      <w:r w:rsidR="00762B03">
        <w:instrText>ADDIN CSL_CITATION {"citationItems":[{"id":"ITEM-1","itemData":{"ISBN":"9781921449864","abstract":"At the request of Australiaa</w:instrText>
      </w:r>
      <w:r w:rsidR="00762B03">
        <w:rPr>
          <w:rFonts w:ascii="Times New Roman" w:hAnsi="Times New Roman" w:cs="Times New Roman"/>
        </w:rPr>
        <w:instrText>̂</w:instrText>
      </w:r>
      <w:r w:rsidR="00762B03">
        <w:instrText>s 39 universities, the Australian Human Rights Commission has conducted a national, independent survey of university students to gain greater insight into the nature, prevalence and reporting of sexual assault and sexual harassment at Australian universities. The National university student survey on sexual assault and sexual harassment (the National Survey) also examined the effectiveness of university services and policies that address sexual assault and sexual harassment on campus. The request to conduct this survey follows decades of advocacy on the topic of sexual assault and sexual harassment at universities both within Australia and overseas. The National Survey is the first of its kind and the first attempt to examine in detail the scale and the nature of the problem in Australia. This work builds on the Commissiona</w:instrText>
      </w:r>
      <w:r w:rsidR="00762B03">
        <w:rPr>
          <w:rFonts w:ascii="Times New Roman" w:hAnsi="Times New Roman" w:cs="Times New Roman"/>
        </w:rPr>
        <w:instrText>̂</w:instrText>
      </w:r>
      <w:r w:rsidR="00762B03">
        <w:instrText>s extensive experience leading projects of this nature, including the Review into the Treatment of Women in the Australian Defence Force and conducting national workplace sexual harassment surveys for the past 12 years. The National Survey measured the experiences of over 30,000 students across all 39 universities and collected information about : prevalence of sexual assault and sexual harassment among Australian university students in 2015 and 2016, characteristics of people who experienced sexual assault and sexual harassment, characteristics of perpetrators of sexual assault and sexual harassment, settings where students experienced sexual assault and sexual harassment at university, reporting of sexual assault and sexual harassment, and students recommendations for change. This report outlines the findings of the National Survey, provides an analysis of the qualitative information received through the submissions, and makes recommendations for areas of action and reform. [Executive summary, ed]. Commissioner's foreword / Kate Jenkins, Sex Discrimination Commissioner, Australian Human Rights Commission -- Executive summary -- 1. Introduction -- 2. Sexual assault and sexual harassment at university ; 2.1 Prevalence of sexual harassment ; 2.2 Nature of sexual harassment ; 2.3 Who experiences sexual harassment at university? ; 2.4 Who are the perpetrators of sexual harassment at university? ; 2.5 Prevalence of sexual assault ; 2.6 Who experiences sexual assault at university? ; 2.7 Who are the perpetrators of sexual assault at university? -- 3. Settings in which sexual assault and sexual harassment occur…","author":[{"dropping-particle":"","family":"Australian Human Rights Commission","given":"","non-dropping-particle":"","parse-names":false,"suffix":""}],"id":"ITEM-1","issued":{"date-parts":[["2017"]]},"number-of-pages":"254","publisher-place":"Sydney","title":"Change the course: National report on sexual assault and sexual harassment at Australian universities","type":"report"},"uris":["http://www.mendeley.com/documents/?uuid=c81ab97f-3d2e-31d0-894b-2de166920187"]}],"mendeley":{"formattedCitation":"(Australian Human Rights Commission, 2017)","manualFormatting":"(AHRC, 2017)","plainTextFormattedCitation":"(Australian Human Rights Commission, 2017)","previouslyFormattedCitation":"(Australian Human Rights Commission, 2017)"},"properties":{"noteIndex":0},"schema":"https://github.com/citation-style-language/schema/raw/master/csl-citation.json"}</w:instrText>
      </w:r>
      <w:r w:rsidRPr="006A192A">
        <w:fldChar w:fldCharType="separate"/>
      </w:r>
      <w:r w:rsidR="00F93776">
        <w:rPr>
          <w:noProof/>
        </w:rPr>
        <w:t>(</w:t>
      </w:r>
      <w:r w:rsidRPr="006A192A">
        <w:rPr>
          <w:noProof/>
        </w:rPr>
        <w:t>AHRC, 2017)</w:t>
      </w:r>
      <w:r w:rsidRPr="006A192A">
        <w:fldChar w:fldCharType="end"/>
      </w:r>
      <w:r w:rsidRPr="006A192A">
        <w:t>. A consistent predictor of poor attitudes to VAW and gender equality is low levels of education</w:t>
      </w:r>
      <w:r>
        <w:t xml:space="preserve"> </w:t>
      </w:r>
      <w:r w:rsidR="00DD17C9">
        <w:t xml:space="preserve">about SVH </w:t>
      </w:r>
      <w:r>
        <w:fldChar w:fldCharType="begin" w:fldLock="1"/>
      </w:r>
      <w:r>
        <w:instrText>ADDIN CSL_CITATION {"citationItems":[{"id":"ITEM-1","itemData":{"author":[{"dropping-particle":"","family":"Webster","given":"Kim","non-dropping-particle":"","parse-names":false,"suffix":""},{"dropping-particle":"","family":"Diemer","given":"K.","non-dropping-particle":"","parse-names":false,"suffix":""},{"dropping-particle":"","family":"Honey","given":"N.","non-dropping-particle":"","parse-names":false,"suffix":""},{"dropping-particle":"","family":"Mannix","given":"S.","non-dropping-particle":"","parse-names":false,"suffix":""},{"dropping-particle":"","family":"Mickle","given":"J.","non-dropping-particle":"","parse-names":false,"suffix":""},{"dropping-particle":"","family":"Morgan","given":"J.","non-dropping-particle":"","parse-names":false,"suffix":""},{"dropping-particle":"","family":"Parkes","given":"A.","non-dropping-particle":"","parse-names":false,"suffix":""},{"dropping-particle":"","family":"Politoff","given":"V.","non-dropping-particle":"","parse-names":false,"suffix":""},{"dropping-particle":"","family":"Powell","given":"A.","non-dropping-particle":"","parse-names":false,"suffix":""},{"dropping-particle":"","family":"Stubbs","given":"J.","non-dropping-particle":"","parse-names":false,"suffix":""},{"dropping-particle":"","family":"Ward","given":"A","non-dropping-particle":"","parse-names":false,"suffix":""}],"id":"ITEM-1","issued":{"date-parts":[["2017"]]},"publisher":"ANROWS","publisher-place":"Sydney","title":"Australians’ attitudes to violence against women and gender equality. Findings from the 2017 National Community Attitudes Survey towards Violence against Women Survey","type":"report"},"uris":["http://www.mendeley.com/documents/?uuid=4a4412d6-f4ae-3504-8e6b-f57bfe88db6b"]}],"mendeley":{"formattedCitation":"(Webster et al., 2017)","plainTextFormattedCitation":"(Webster et al., 2017)","previouslyFormattedCitation":"(Webster et al., 2017)"},"properties":{"noteIndex":0},"schema":"https://github.com/citation-style-language/schema/raw/master/csl-citation.json"}</w:instrText>
      </w:r>
      <w:r>
        <w:fldChar w:fldCharType="separate"/>
      </w:r>
      <w:r w:rsidRPr="00774943">
        <w:rPr>
          <w:noProof/>
        </w:rPr>
        <w:t>(Webster et al., 2017)</w:t>
      </w:r>
      <w:r>
        <w:fldChar w:fldCharType="end"/>
      </w:r>
      <w:r w:rsidRPr="006A192A">
        <w:t xml:space="preserve">. </w:t>
      </w:r>
    </w:p>
    <w:p w14:paraId="59A49C1E" w14:textId="38E8E77F" w:rsidR="003C1A10" w:rsidRPr="00A429E0" w:rsidRDefault="003C1A10" w:rsidP="00A429E0">
      <w:pPr>
        <w:pStyle w:val="LTU-Subhead3"/>
      </w:pPr>
      <w:r w:rsidRPr="0019421E">
        <w:t>How to do it</w:t>
      </w:r>
      <w:r w:rsidR="00A73331" w:rsidRPr="0019421E">
        <w:t>?</w:t>
      </w:r>
      <w:r w:rsidRPr="0019421E">
        <w:t xml:space="preserve"> Activities/interventions</w:t>
      </w:r>
    </w:p>
    <w:p w14:paraId="4B780BA6" w14:textId="37675C83" w:rsidR="0099141F" w:rsidRDefault="003C1A10" w:rsidP="006F1C63">
      <w:pPr>
        <w:pStyle w:val="LTU-Bullets10pt"/>
        <w:rPr>
          <w:rFonts w:cstheme="minorBidi"/>
        </w:rPr>
      </w:pPr>
      <w:r w:rsidRPr="006A192A">
        <w:t xml:space="preserve">Consistent and adaptable national curriculum on </w:t>
      </w:r>
      <w:r>
        <w:t>r</w:t>
      </w:r>
      <w:r w:rsidRPr="006A192A">
        <w:t xml:space="preserve">espectful </w:t>
      </w:r>
      <w:r>
        <w:t>r</w:t>
      </w:r>
      <w:r w:rsidRPr="006A192A">
        <w:t xml:space="preserve">elationships and </w:t>
      </w:r>
      <w:r>
        <w:t>s</w:t>
      </w:r>
      <w:r w:rsidRPr="006A192A">
        <w:t xml:space="preserve">ex </w:t>
      </w:r>
      <w:r>
        <w:t>e</w:t>
      </w:r>
      <w:r w:rsidRPr="006A192A">
        <w:t>ducation/</w:t>
      </w:r>
      <w:r>
        <w:t>a</w:t>
      </w:r>
      <w:r w:rsidRPr="006A192A">
        <w:t xml:space="preserve">ffirmative </w:t>
      </w:r>
      <w:r>
        <w:t>c</w:t>
      </w:r>
      <w:r w:rsidRPr="006A192A">
        <w:t>onsent/</w:t>
      </w:r>
      <w:r w:rsidR="00053DEB">
        <w:t xml:space="preserve">critical literacy of </w:t>
      </w:r>
      <w:r>
        <w:t>m</w:t>
      </w:r>
      <w:r w:rsidRPr="006A192A">
        <w:t>edia and tech</w:t>
      </w:r>
      <w:r>
        <w:t>nology</w:t>
      </w:r>
      <w:r w:rsidR="00783F86">
        <w:t>,</w:t>
      </w:r>
      <w:r w:rsidRPr="006A192A">
        <w:t xml:space="preserve"> </w:t>
      </w:r>
      <w:r w:rsidR="00053DEB">
        <w:t>including pornography</w:t>
      </w:r>
    </w:p>
    <w:p w14:paraId="46642200" w14:textId="77777777" w:rsidR="0099141F" w:rsidRDefault="003C1A10" w:rsidP="006F1C63">
      <w:pPr>
        <w:pStyle w:val="LTU-Bullets10pt"/>
        <w:rPr>
          <w:rFonts w:cstheme="minorBidi"/>
        </w:rPr>
      </w:pPr>
      <w:r w:rsidRPr="006A192A">
        <w:t xml:space="preserve">Respectful </w:t>
      </w:r>
      <w:r>
        <w:t>r</w:t>
      </w:r>
      <w:r w:rsidRPr="006A192A">
        <w:t>elationships</w:t>
      </w:r>
      <w:r w:rsidR="00053DEB">
        <w:t xml:space="preserve"> and </w:t>
      </w:r>
      <w:r>
        <w:t>s</w:t>
      </w:r>
      <w:r w:rsidRPr="006A192A">
        <w:t xml:space="preserve">ex </w:t>
      </w:r>
      <w:r>
        <w:t>e</w:t>
      </w:r>
      <w:r w:rsidRPr="006A192A">
        <w:t xml:space="preserve">ducation teacher education at </w:t>
      </w:r>
      <w:r>
        <w:t>tertiary level</w:t>
      </w:r>
    </w:p>
    <w:p w14:paraId="311CD685" w14:textId="77777777" w:rsidR="0099141F" w:rsidRDefault="00037C9B" w:rsidP="006F1C63">
      <w:pPr>
        <w:pStyle w:val="LTU-Bullets10pt"/>
        <w:rPr>
          <w:rFonts w:cstheme="minorBidi"/>
        </w:rPr>
      </w:pPr>
      <w:r>
        <w:t>Ongoing p</w:t>
      </w:r>
      <w:r w:rsidR="003C1A10" w:rsidRPr="006A192A">
        <w:t>arental</w:t>
      </w:r>
      <w:r>
        <w:t>/caregiver</w:t>
      </w:r>
      <w:r w:rsidR="003C1A10" w:rsidRPr="006A192A">
        <w:t xml:space="preserve"> and education workforce engagement strategies</w:t>
      </w:r>
    </w:p>
    <w:p w14:paraId="36EBF0CE" w14:textId="3247261C" w:rsidR="003C1A10" w:rsidRPr="0099141F" w:rsidRDefault="00783F86" w:rsidP="006F1C63">
      <w:pPr>
        <w:pStyle w:val="LTU-Bullets10pt"/>
        <w:rPr>
          <w:rFonts w:cstheme="minorBidi"/>
        </w:rPr>
      </w:pPr>
      <w:r>
        <w:t>A s</w:t>
      </w:r>
      <w:r w:rsidR="003C1A10" w:rsidRPr="006A192A">
        <w:t xml:space="preserve">uite of education setting interventions </w:t>
      </w:r>
      <w:r w:rsidR="008B3304">
        <w:t>(</w:t>
      </w:r>
      <w:r w:rsidR="003C1A10" w:rsidRPr="006A192A">
        <w:t>e.g.</w:t>
      </w:r>
      <w:r w:rsidR="002137EE">
        <w:t>,</w:t>
      </w:r>
      <w:r w:rsidR="003C1A10" w:rsidRPr="006A192A">
        <w:t xml:space="preserve"> </w:t>
      </w:r>
      <w:r w:rsidR="00B77360">
        <w:t>w</w:t>
      </w:r>
      <w:r w:rsidR="003C1A10" w:rsidRPr="006A192A">
        <w:t>omen</w:t>
      </w:r>
      <w:r w:rsidR="009A1993">
        <w:t>,</w:t>
      </w:r>
      <w:r w:rsidR="003C1A10">
        <w:t xml:space="preserve"> </w:t>
      </w:r>
      <w:r w:rsidR="00B77360">
        <w:t>t</w:t>
      </w:r>
      <w:r w:rsidR="003C1A10">
        <w:t>rans and gender diverse people</w:t>
      </w:r>
      <w:r w:rsidR="0041504D">
        <w:t>’</w:t>
      </w:r>
      <w:r w:rsidR="003C1A10">
        <w:t xml:space="preserve">s </w:t>
      </w:r>
      <w:r w:rsidR="003C1A10" w:rsidRPr="006A192A">
        <w:t>empowerment programs/young men as allies/</w:t>
      </w:r>
      <w:r w:rsidR="003C1A10">
        <w:t>a</w:t>
      </w:r>
      <w:r w:rsidR="003C1A10" w:rsidRPr="006A192A">
        <w:t>lcohol on campus</w:t>
      </w:r>
      <w:r w:rsidR="008B3304">
        <w:t>)</w:t>
      </w:r>
    </w:p>
    <w:p w14:paraId="209D2531" w14:textId="77777777" w:rsidR="00BA4573" w:rsidRDefault="00BA4573" w:rsidP="003C1A10">
      <w:pPr>
        <w:pStyle w:val="LTU-Body5pt"/>
        <w:rPr>
          <w:b/>
          <w:bCs/>
          <w:color w:val="F0910C"/>
        </w:rPr>
      </w:pPr>
    </w:p>
    <w:p w14:paraId="47A881AC" w14:textId="77777777" w:rsidR="00BA4573" w:rsidRDefault="00BA4573" w:rsidP="003C1A10">
      <w:pPr>
        <w:pStyle w:val="LTU-Body5pt"/>
        <w:rPr>
          <w:b/>
          <w:bCs/>
          <w:color w:val="F0910C"/>
        </w:rPr>
      </w:pPr>
    </w:p>
    <w:p w14:paraId="1481DB44" w14:textId="77E957C1" w:rsidR="003C1A10" w:rsidRPr="00A429E0" w:rsidRDefault="003C1A10" w:rsidP="00A429E0">
      <w:pPr>
        <w:pStyle w:val="LTU-Subhead3"/>
      </w:pPr>
      <w:r w:rsidRPr="0019421E">
        <w:lastRenderedPageBreak/>
        <w:t>What will happen</w:t>
      </w:r>
      <w:r w:rsidR="00A73331" w:rsidRPr="0019421E">
        <w:t>?</w:t>
      </w:r>
      <w:r w:rsidRPr="0019421E">
        <w:t xml:space="preserve"> </w:t>
      </w:r>
      <w:r w:rsidR="002137EE" w:rsidRPr="0019421E">
        <w:t>S</w:t>
      </w:r>
      <w:r w:rsidRPr="0019421E">
        <w:t>hort</w:t>
      </w:r>
      <w:r w:rsidR="002137EE" w:rsidRPr="0019421E">
        <w:t>-</w:t>
      </w:r>
      <w:r w:rsidRPr="0019421E">
        <w:t>term outcomes</w:t>
      </w:r>
    </w:p>
    <w:p w14:paraId="6A45F058" w14:textId="77777777" w:rsidR="0099141F" w:rsidRDefault="003C1A10" w:rsidP="006F1C63">
      <w:pPr>
        <w:pStyle w:val="LTU-Bullets10pt"/>
        <w:rPr>
          <w:rFonts w:cstheme="minorBidi"/>
        </w:rPr>
      </w:pPr>
      <w:r w:rsidRPr="006A192A">
        <w:t>Greater student SVH knowledge, attitudes, life skills</w:t>
      </w:r>
      <w:r w:rsidRPr="00B2523F">
        <w:t xml:space="preserve"> </w:t>
      </w:r>
    </w:p>
    <w:p w14:paraId="4BCA7077" w14:textId="77777777" w:rsidR="0099141F" w:rsidRDefault="003C1A10" w:rsidP="006F1C63">
      <w:pPr>
        <w:pStyle w:val="LTU-Bullets10pt"/>
        <w:rPr>
          <w:rFonts w:cstheme="minorBidi"/>
        </w:rPr>
      </w:pPr>
      <w:r w:rsidRPr="006A192A">
        <w:t xml:space="preserve">Increased numbers of </w:t>
      </w:r>
      <w:r w:rsidR="2586D44C">
        <w:t>educators</w:t>
      </w:r>
      <w:r w:rsidRPr="006A192A">
        <w:t xml:space="preserve"> qualified to deliver </w:t>
      </w:r>
      <w:r>
        <w:t>respectful relationships</w:t>
      </w:r>
      <w:r w:rsidR="00A95952">
        <w:t xml:space="preserve"> and </w:t>
      </w:r>
      <w:r>
        <w:t>s</w:t>
      </w:r>
      <w:r w:rsidRPr="006A192A">
        <w:t xml:space="preserve">ex </w:t>
      </w:r>
      <w:r>
        <w:t>e</w:t>
      </w:r>
      <w:r w:rsidRPr="006A192A">
        <w:t>ducation</w:t>
      </w:r>
    </w:p>
    <w:p w14:paraId="3B268A87" w14:textId="3A1CC5FD" w:rsidR="0099141F" w:rsidRDefault="009778B8" w:rsidP="006F1C63">
      <w:pPr>
        <w:pStyle w:val="LTU-Bullets10pt"/>
        <w:rPr>
          <w:rFonts w:cstheme="minorBidi"/>
        </w:rPr>
      </w:pPr>
      <w:r>
        <w:t xml:space="preserve">Increased </w:t>
      </w:r>
      <w:r w:rsidR="005F26BA">
        <w:t xml:space="preserve">numbers of parents/caregivers and educators prepared to engage with respectful relationships and sex education </w:t>
      </w:r>
    </w:p>
    <w:p w14:paraId="3394A0EA" w14:textId="62A8A502" w:rsidR="003C1A10" w:rsidRPr="0099141F" w:rsidRDefault="000C7B71" w:rsidP="006F1C63">
      <w:pPr>
        <w:pStyle w:val="LTU-Bullets10pt"/>
        <w:rPr>
          <w:rFonts w:cstheme="minorBidi"/>
        </w:rPr>
      </w:pPr>
      <w:r>
        <w:t>W</w:t>
      </w:r>
      <w:r w:rsidR="003C1A10" w:rsidRPr="006A192A">
        <w:t>omen</w:t>
      </w:r>
      <w:r w:rsidR="009A1993">
        <w:t>,</w:t>
      </w:r>
      <w:r w:rsidR="003C1A10">
        <w:t xml:space="preserve"> </w:t>
      </w:r>
      <w:r w:rsidR="00E147E4">
        <w:t>trans and gender diverse</w:t>
      </w:r>
      <w:r w:rsidR="003C1A10">
        <w:t xml:space="preserve"> people</w:t>
      </w:r>
      <w:r w:rsidR="7E29409C">
        <w:t>’</w:t>
      </w:r>
      <w:r w:rsidR="003C1A10">
        <w:t xml:space="preserve">s </w:t>
      </w:r>
      <w:r w:rsidR="003C1A10" w:rsidRPr="006A192A">
        <w:t>confidence, ownership and control</w:t>
      </w:r>
      <w:r w:rsidR="00BF23AE">
        <w:t xml:space="preserve"> increased;</w:t>
      </w:r>
      <w:r w:rsidR="003C1A10" w:rsidRPr="006A192A">
        <w:t xml:space="preserve"> mobilisation of men and boys</w:t>
      </w:r>
    </w:p>
    <w:p w14:paraId="67EDF57D" w14:textId="55044A24" w:rsidR="003C1A10" w:rsidRPr="00A429E0" w:rsidRDefault="003C1A10" w:rsidP="00A429E0">
      <w:pPr>
        <w:pStyle w:val="LTU-Subhead3"/>
      </w:pPr>
      <w:r w:rsidRPr="0019421E">
        <w:t xml:space="preserve">What </w:t>
      </w:r>
      <w:r w:rsidR="00BA4573" w:rsidRPr="0019421E">
        <w:t>are you</w:t>
      </w:r>
      <w:r w:rsidRPr="0019421E">
        <w:t xml:space="preserve"> measuring</w:t>
      </w:r>
      <w:r w:rsidR="00A73331" w:rsidRPr="0019421E">
        <w:t>?</w:t>
      </w:r>
      <w:r w:rsidRPr="0019421E">
        <w:t xml:space="preserve"> </w:t>
      </w:r>
      <w:r w:rsidR="002137EE" w:rsidRPr="0019421E">
        <w:t>Long-</w:t>
      </w:r>
      <w:r w:rsidRPr="0019421E">
        <w:t>term outcomes</w:t>
      </w:r>
    </w:p>
    <w:p w14:paraId="64A00ABD" w14:textId="77777777" w:rsidR="0099141F" w:rsidRDefault="003C1A10" w:rsidP="006F1C63">
      <w:pPr>
        <w:pStyle w:val="LTU-Bullets10pt"/>
        <w:rPr>
          <w:rFonts w:cstheme="minorBidi"/>
        </w:rPr>
      </w:pPr>
      <w:r w:rsidRPr="006A192A">
        <w:t>Reduced SVH victimisation and perpetration</w:t>
      </w:r>
    </w:p>
    <w:p w14:paraId="7CBE7609" w14:textId="77777777" w:rsidR="0099141F" w:rsidRDefault="003C1A10" w:rsidP="006F1C63">
      <w:pPr>
        <w:pStyle w:val="LTU-Bullets10pt"/>
        <w:rPr>
          <w:rFonts w:cstheme="minorBidi"/>
        </w:rPr>
      </w:pPr>
      <w:r w:rsidRPr="006A192A">
        <w:t>Trained and ready education workforce</w:t>
      </w:r>
    </w:p>
    <w:p w14:paraId="021DE468" w14:textId="77777777" w:rsidR="0099141F" w:rsidRDefault="003C1A10" w:rsidP="006F1C63">
      <w:pPr>
        <w:pStyle w:val="LTU-Bullets10pt"/>
        <w:rPr>
          <w:rFonts w:cstheme="minorBidi"/>
        </w:rPr>
      </w:pPr>
      <w:r w:rsidRPr="006A192A">
        <w:t>Enhanced parent/</w:t>
      </w:r>
      <w:r w:rsidR="000668A3">
        <w:t xml:space="preserve">caregiver and </w:t>
      </w:r>
      <w:r w:rsidRPr="006A192A">
        <w:t>teacher engagement</w:t>
      </w:r>
    </w:p>
    <w:p w14:paraId="7E98B4B1" w14:textId="4C75B7E5" w:rsidR="003C1A10" w:rsidRPr="0099141F" w:rsidRDefault="003C1A10" w:rsidP="006F1C63">
      <w:pPr>
        <w:pStyle w:val="LTU-Bullets10pt"/>
        <w:rPr>
          <w:rFonts w:cstheme="minorBidi"/>
        </w:rPr>
      </w:pPr>
      <w:r w:rsidRPr="006A192A">
        <w:t>Peer group norms and behaviour change</w:t>
      </w:r>
      <w:r w:rsidR="002137EE">
        <w:t>—</w:t>
      </w:r>
      <w:r w:rsidR="005B2776">
        <w:t xml:space="preserve">leading to </w:t>
      </w:r>
      <w:r w:rsidRPr="006A192A">
        <w:t>more young people develop</w:t>
      </w:r>
      <w:r w:rsidR="00584423">
        <w:t>ing</w:t>
      </w:r>
      <w:r w:rsidRPr="006A192A">
        <w:t xml:space="preserve"> gender equitable relationships</w:t>
      </w:r>
    </w:p>
    <w:p w14:paraId="4358DF90" w14:textId="77777777" w:rsidR="003C1A10" w:rsidRPr="00A429E0" w:rsidRDefault="003C1A10" w:rsidP="00A429E0">
      <w:pPr>
        <w:pStyle w:val="LTU-Subhead3"/>
      </w:pPr>
      <w:r w:rsidRPr="0019421E">
        <w:t>What evidence is there?</w:t>
      </w:r>
    </w:p>
    <w:bookmarkEnd w:id="57"/>
    <w:p w14:paraId="43857B7E" w14:textId="75EC2922" w:rsidR="003C1A10" w:rsidRPr="006A192A" w:rsidRDefault="002137EE" w:rsidP="003C1A10">
      <w:pPr>
        <w:pStyle w:val="LTU-Body10pt"/>
      </w:pPr>
      <w:r w:rsidRPr="006A192A">
        <w:t>Well</w:t>
      </w:r>
      <w:r>
        <w:t>-</w:t>
      </w:r>
      <w:r w:rsidR="003C1A10" w:rsidRPr="006A192A">
        <w:t>evaluated and effective programs are available</w:t>
      </w:r>
      <w:r w:rsidR="004C0350">
        <w:t>,</w:t>
      </w:r>
      <w:r w:rsidR="003C1A10" w:rsidRPr="006A192A">
        <w:t xml:space="preserve"> such as </w:t>
      </w:r>
      <w:r w:rsidR="003C1A10" w:rsidRPr="00AB1956">
        <w:t xml:space="preserve">women’s empowerment programs </w:t>
      </w:r>
      <w:r w:rsidR="003C1A10" w:rsidRPr="006A192A">
        <w:rPr>
          <w:i/>
          <w:iCs/>
        </w:rPr>
        <w:t>Enhanced Assess, Acknowledge, Act</w:t>
      </w:r>
      <w:r w:rsidR="003C1A10" w:rsidRPr="006A192A">
        <w:t xml:space="preserve"> (EAAA) </w:t>
      </w:r>
      <w:r w:rsidR="003C1A10">
        <w:t xml:space="preserve">in Canada </w:t>
      </w:r>
      <w:r w:rsidR="00545B73">
        <w:fldChar w:fldCharType="begin" w:fldLock="1"/>
      </w:r>
      <w:r w:rsidR="00082EEB">
        <w:instrText>ADDIN CSL_CITATION {"citationItems":[{"id":"ITEM-1","itemData":{"DOI":"10.1177/0361684317690119","ISBN":"0361-6843","ISSN":"0361-6843","abstract":"We report the secondary outcomes and longevity of efficacy from a randomized controlled trial that evaluated a novel sexual assault resistance program designed for first-year women university students. Participants (N = 893) were randomly assigned to receive the Enhanced Assess, Acknowledge, Act (EAAA) program or a selection of brochures (control). Perception of personal risk, self-defense self-efficacy, and rape myth acceptance was assessed at baseline; 1-week postintervention; and 6-, 12-, 18-, and 24-month postrandomization. Risk detection was assessed at 1 week, 6 months, and 12 months. Sexual assault experience and knowledge of effective resistance strategies were assessed at all follow-ups. The EAAA program produced significant increases in women's perception of personal risk, self-defense self-efficacy, and knowledge of effective (forceful verbal and physical) resistance strategies; the program also produced decreases in general rape myth acceptance and woman blaming over the entire 24-month follow-up period. Risk detection was significantly improved for the intervention group at post-test. The program significantly reduced the risk of completed and attempted rape, attempted coercion, and nonconsensual sexual contact over the entire follow-up period, yielding reductions between 30% and 64% at 2 years. The EAAA program produces long-lasting changes in secondary outcomes and in the incidence of sexual assault experienced by women students. Universities can reduce the harm and the negative health consequences that young women experience as a result of campus sexual assault by implementing this program. Online slides for instructors who want to use this article for teaching are available on PWQ's website at http://journals.sagepub.com/page/pwq/suppl/index.","author":[{"dropping-particle":"","family":"Senn","given":"Charlene Y.","non-dropping-particle":"","parse-names":false,"suffix":""},{"dropping-particle":"","family":"Eliasziw","given":"Misha","non-dropping-particle":"","parse-names":false,"suffix":""},{"dropping-particle":"","family":"Hobden","given":"Karen L","non-dropping-particle":"","parse-names":false,"suffix":""},{"dropping-particle":"","family":"Newby-Clark","given":"Ian R","non-dropping-particle":"","parse-names":false,"suffix":""},{"dropping-particle":"","family":"Barata","given":"Paula C.","non-dropping-particle":"","parse-names":false,"suffix":""},{"dropping-particle":"","family":"Radtke","given":"H Lorraine","non-dropping-particle":"","parse-names":false,"suffix":""},{"dropping-particle":"","family":"Thurston","given":"Wilfreda E","non-dropping-particle":"","parse-names":false,"suffix":""}],"container-title":"Psychology of Women Quarterly","id":"ITEM-1","issue":"2","issued":{"date-parts":[["2017"]]},"note":"From Duplicate 2 (Secondary and 2-Year Outcomes of a Sexual Assault Resistance Program for University Women - Senn, Charlene Y; Eliasziw, Misha; Hobden, Karen L; Newby-Clark, Ian R; Barata, Paula C; Radtke, H Lorraine; Thurston, Wilfreda E)\n\nresearch; tables/charts; randomized controlled trial. Journal Subset: Biomedical; Europe; Peer Reviewed; UK &amp;amp; Ireland. NLM UID: 7613934.","page":"147-162","publisher":"Sage Publications Inc.","publisher-place":"Thousand Oaks, California","title":"Secondary and 2-year outcomes of a sexual assault resistance program for university women","type":"article-journal","volume":"41"},"uris":["http://www.mendeley.com/documents/?uuid=59aff18d-9c25-4c73-8751-f62d871a95d4"]},{"id":"ITEM-2","itemData":{"DOI":"10.1056/NEJMsa1411131","ISSN":"0028-4793","abstract":"BACKGROUND Young women attending university are at substantial risk for being sexually assaulted, primarily by male acquaintances, but effective strategies to reduce this risk remain elusive. METHODS We randomly assigned first-year female students at three universities in Canada to the Enhanced Assess, Acknowledge, Act Sexual Assault Resistance program (resistance group) or to a session providing access to brochures on sexual assault, as was common university practice (control group). The resistance program consists of four 3-hour units in which information is provided and skills are taught and practiced, with the goal of being able to assess risk from acquaintances, overcome emotional barriers in acknowledging danger, and engage in effective verbal and physical self-defense. The primary outcome was completed rape, as measured by the Sexual Experiences Survey-Short Form Victimization, during 1 year of follow-up. RESULTS A total of 451 women were assigned to the resistance group and 442 women to the control group. Of the women assigned to the resistance group, 91% attended at least three of the four units. The 1-year risk of completed rape was significantly lower in the resistance group than in the control group (5.2% vs. 9.8%; relative risk reduction, 46.3% [95% confidence interval, 6.8 to 69.1]; P = 0.02). The 1-year risk of attempted rape was also significantly lower in the resistance group (3.4% vs. 9.3%, &lt;0.001). CONCLUSIONS A rigorously designed and executed sexual assault resistance program was successful in decreasing the occurrence of rape, attempted rape, and other forms of victimization among first-year university women. Copyright © 2015 Massachusetts Medical Society. All rights reserved.","author":[{"dropping-particle":"","family":"Senn","given":"Charlene Y.","non-dropping-particle":"","parse-names":false,"suffix":""},{"dropping-particle":"","family":"Eliasziw","given":"Misha","non-dropping-particle":"","parse-names":false,"suffix":""},{"dropping-particle":"","family":"Barata","given":"Paula C.","non-dropping-particle":"","parse-names":false,"suffix":""},{"dropping-particle":"","family":"Thurston","given":"Wilfreda E","non-dropping-particle":"","parse-names":false,"suffix":""},{"dropping-particle":"","family":"Newby-Clark","given":"Ian R","non-dropping-particle":"","parse-names":false,"suffix":""},{"dropping-particle":"","family":"Radtke","given":"H Lorraine","non-dropping-particle":"","parse-names":false,"suffix":""},{"dropping-particle":"","family":"Hobden","given":"Karen L","non-dropping-particle":"","parse-names":false,"suffix":""}],"container-title":"New England Journal of Medicine","id":"ITEM-2","issue":"24","issued":{"date-parts":[["2015"]]},"note":"From Duplicate 2 (Efficacy of a sexual assault resistance program for university women - Senn, Charlene Y.; Eliasziw, Misha; Barata, P C; Thurston, W E; Newby-Clark, I R; Radtke, H L; Hobden, K L)\n\nCited By :107\nExport Date: 27 June 2020","page":"2326-2335","title":"Efficacy of a sexual assault resistance program for university women","type":"article-journal","volume":"372"},"uris":["http://www.mendeley.com/documents/?uuid=892a0515-96db-4d27-b2cd-d565147e3cb7"]}],"mendeley":{"formattedCitation":"(Senn et al., 2015, 2017)","plainTextFormattedCitation":"(Senn et al., 2015, 2017)","previouslyFormattedCitation":"(Senn et al., 2015, 2017)"},"properties":{"noteIndex":0},"schema":"https://github.com/citation-style-language/schema/raw/master/csl-citation.json"}</w:instrText>
      </w:r>
      <w:r w:rsidR="00545B73">
        <w:fldChar w:fldCharType="separate"/>
      </w:r>
      <w:r w:rsidR="00545B73" w:rsidRPr="00545B73">
        <w:rPr>
          <w:noProof/>
        </w:rPr>
        <w:t>(Senn et al., 2015, 2017)</w:t>
      </w:r>
      <w:r w:rsidR="00545B73">
        <w:fldChar w:fldCharType="end"/>
      </w:r>
      <w:r w:rsidR="003C1A10">
        <w:t xml:space="preserve"> </w:t>
      </w:r>
      <w:r w:rsidR="003C1A10" w:rsidRPr="006A192A">
        <w:t xml:space="preserve">and </w:t>
      </w:r>
      <w:r w:rsidR="003C1A10">
        <w:t xml:space="preserve">men’s </w:t>
      </w:r>
      <w:r w:rsidR="003C1A10" w:rsidRPr="00AB1956">
        <w:t>bystander approaches</w:t>
      </w:r>
      <w:r w:rsidR="003C1A10" w:rsidRPr="006A192A">
        <w:t xml:space="preserve"> like </w:t>
      </w:r>
      <w:r w:rsidR="003C1A10">
        <w:rPr>
          <w:i/>
          <w:iCs/>
        </w:rPr>
        <w:t>Real Consent</w:t>
      </w:r>
      <w:r w:rsidR="003C1A10">
        <w:t xml:space="preserve"> </w:t>
      </w:r>
      <w:r w:rsidR="00545B73">
        <w:fldChar w:fldCharType="begin" w:fldLock="1"/>
      </w:r>
      <w:r w:rsidR="00C03231">
        <w:instrText>ADDIN CSL_CITATION {"citationItems":[{"id":"ITEM-1","itemData":{"DOI":"10.1177/1090198118779126","ISSN":"15526127","PMID":"29996689","abstract":"This study examined the process by which a web-based sexual violence (SV) prevention program (i.e., RealConsent) prevents SV perpetration and increases bystander behaviors. Data from 743 college men who participated in a randomized controlled trial were analyzed. Simple and multiple-mediation models were estimated, using several theoretical constructs to assess the mechanisms through which RealConsent produced significant effects on SV perpetration and prosocial bystander or intervening behaviors. The results indicated that knowledge of effective consent for sex, hostility toward women, date rape attitudes, and hyper-gender male ideology significantly mediated the effects of RealConsent on SV perpetration in the multiple-mediator model. Furthermore, intentions to intervene significantly mediated the effects of RealConsent on prosocial bystander behaviors in the multiple-mediator model. The results show that the RealConsent program works to prevent SV perpetration and prosocial bystander behaviors via several theoretically proposed mediators central to the development and content of the program. The results also provide strong evidence that SV and bystander education for college men may benefit from including an explicit focus on decreasing negative norms related to women (e.g., hostility, date rape attitudes, hyper-gender ideology) and through increasing college men’s knowledge of consent and intentions to intervene.","author":[{"dropping-particle":"","family":"Salazar","given":"Laura F","non-dropping-particle":"","parse-names":false,"suffix":""},{"dropping-particle":"","family":"Vivolo-Kantor","given":"Alana","non-dropping-particle":"","parse-names":false,"suffix":""},{"dropping-particle":"","family":"Schipani-McLaughlin","given":"Anne Marie","non-dropping-particle":"","parse-names":false,"suffix":""}],"container-title":"Health Education and Behavior","id":"ITEM-1","issue":"1","issued":{"date-parts":[["2019"]]},"note":"research; tables/charts. Journal Subset: Health Promotion/Education; Peer Reviewed; USA. Special Interest: Women's Health. Grant Information: This study was funded by the National Center for Injury Prevention and Control, Centers for Disease Control and Prevention, Grant #R49 CE000892.. NLM UID: 9704962.","page":"79-88","publisher":"Sage Publications Inc.","publisher-place":"Thousand Oaks, California","title":"Theoretical mediators of RealConsent: A web-based sexual violence prevention and bystander education program","type":"article-journal","volume":"46"},"uris":["http://www.mendeley.com/documents/?uuid=c1026c33-0747-34cd-ac19-773f4f3b1a26"]},{"id":"ITEM-2","itemData":{"DOI":"10.2196/jmir.3426","ISSN":"14388871","PMID":"25198417","abstract":"Background: Bystander intervention approaches offer promise for reducing rates of sexual violence on college campuses. Most interventions are in-person small-group formats, which limit their reach and reduce their overall public health impact. Objective: This study evaluated the efficacy of RealConsent, a Web-based bystander approach to sexual violence prevention, in enhancing prosocial intervening behaviors and preventing sexual violence perpetration. Methods: A random probability sample of 743 male undergraduate students (aged 18 to 24 years) attending a large, urban university located in the southeastern United States was recruited online and randomized to either RealConsent (n=376) or a Web-based general health promotion program (n=367). Participants were surveyed online at baseline, postintervention, and 6-months postintervention. RealConsent was delivered via a password-protected Web portal that contained six 30-minute media-based and interactive modules covering knowledge of informed consent, communication skills regarding sex, the role of alcohol and male socialization in sexual violence, empathy for rape victims, and bystander education. Primary outcomes were self-reported prosocial intervening behaviors and sexual violence perpetration. Secondary outcomes were theoretical mediators (eg, knowledge, attitudes). Results: At 6-month follow-up RealConsent participants intervened more often (P=.04) and engaged in less sexual violence perpetration (P=.04) compared to controls. In addition, RealConsent participants reported greater legal knowledge of sexual assault (P&lt;.001), greater knowledge of effective consent (P&lt;.001), less rape myths (P&lt;.001), greater empathy for rape victims (P&lt;.001), less negative date rape attitudes (P&lt;.001), less hostility toward women (P=.01), greater intentions to intervene (P=.04), less hyper-gender ideology (P&lt;.001), less positive outcome expectancies for nonconsensual sex (P=.03), more positive outcome expectancies for intervening (P&lt;.001), and less comfort with other men's inappropriate behaviors (P&lt;.001). Conclusions: Our results support the efficacy of RealConsent. Due to its Web-based format, RealConsent has potential for broad-based dissemination thereby increasing its overall public health impact on sexual violence. Trial Registration: Clinicaltrials.gov: NCT01903876; http://clinicaltrials.gov/show/NCT01903876 (Archived by WebCite at http://www.webcitation.org/6S1PXxWKt).","author":[{"dropping-particle":"","family":"Salazar","given":"Laura F","non-dropping-particle":"","parse-names":false,"suffix":""},{"dropping-particle":"","family":"Vivolo-Kantor","given":"Alana","non-dropping-particle":"","parse-names":false,"suffix":""},{"dropping-particle":"","family":"Hardin","given":"James","non-dropping-particle":"","parse-names":false,"suffix":""},{"dropping-particle":"","family":"Berkowitz","given":"Alan","non-dropping-particle":"","parse-names":false,"suffix":""}],"container-title":"Journal of Medical Internet Research","id":"ITEM-2","issue":"9","issued":{"date-parts":[["2014"]]},"language":"English","note":"Salazar, Laura F Vivolo-Kantor, Alana Hardin, James Berkowitz, Alan","page":"e203","title":"A web-based sexual violence bystander intervention for male college students: Randomized controlled trial","type":"article-journal","volume":"16"},"uris":["http://www.mendeley.com/documents/?uuid=edf3f190-555a-37b7-ab4a-d6126ff0769f"]}],"mendeley":{"formattedCitation":"(Salazar et al., 2014, 2019)","plainTextFormattedCitation":"(Salazar et al., 2014, 2019)","previouslyFormattedCitation":"(Salazar et al., 2014, 2019)"},"properties":{"noteIndex":0},"schema":"https://github.com/citation-style-language/schema/raw/master/csl-citation.json"}</w:instrText>
      </w:r>
      <w:r w:rsidR="00545B73">
        <w:fldChar w:fldCharType="separate"/>
      </w:r>
      <w:r w:rsidR="00545B73" w:rsidRPr="00545B73">
        <w:rPr>
          <w:noProof/>
        </w:rPr>
        <w:t>(Salazar et al., 2014, 2019)</w:t>
      </w:r>
      <w:r w:rsidR="00545B73">
        <w:fldChar w:fldCharType="end"/>
      </w:r>
      <w:r w:rsidR="00496C93">
        <w:t xml:space="preserve"> </w:t>
      </w:r>
      <w:r w:rsidR="003C1A10">
        <w:t>in the USA</w:t>
      </w:r>
      <w:r w:rsidR="003C1A10" w:rsidRPr="006A192A">
        <w:t>. The EAAA program</w:t>
      </w:r>
      <w:r w:rsidR="004C0350">
        <w:t>,</w:t>
      </w:r>
      <w:r w:rsidR="003C1A10" w:rsidRPr="006A192A">
        <w:t xml:space="preserve"> based in university settings, combines women’s education and skill development to reduce SVH. Evaluation of EAAA showed reduced campus completed and attempted rape by 50%</w:t>
      </w:r>
      <w:r w:rsidR="0090782E">
        <w:t xml:space="preserve"> </w:t>
      </w:r>
      <w:r w:rsidR="003C1A10">
        <w:fldChar w:fldCharType="begin" w:fldLock="1"/>
      </w:r>
      <w:r w:rsidR="00082EEB">
        <w:instrText>ADDIN CSL_CITATION {"citationItems":[{"id":"ITEM-1","itemData":{"DOI":"10.1056/NEJMsa1411131","ISSN":"0028-4793","abstract":"BACKGROUND Young women attending university are at substantial risk for being sexually assaulted, primarily by male acquaintances, but effective strategies to reduce this risk remain elusive. METHODS We randomly assigned first-year female students at three universities in Canada to the Enhanced Assess, Acknowledge, Act Sexual Assault Resistance program (resistance group) or to a session providing access to brochures on sexual assault, as was common university practice (control group). The resistance program consists of four 3-hour units in which information is provided and skills are taught and practiced, with the goal of being able to assess risk from acquaintances, overcome emotional barriers in acknowledging danger, and engage in effective verbal and physical self-defense. The primary outcome was completed rape, as measured by the Sexual Experiences Survey-Short Form Victimization, during 1 year of follow-up. RESULTS A total of 451 women were assigned to the resistance group and 442 women to the control group. Of the women assigned to the resistance group, 91% attended at least three of the four units. The 1-year risk of completed rape was significantly lower in the resistance group than in the control group (5.2% vs. 9.8%; relative risk reduction, 46.3% [95% confidence interval, 6.8 to 69.1]; P = 0.02). The 1-year risk of attempted rape was also significantly lower in the resistance group (3.4% vs. 9.3%, &lt;0.001). CONCLUSIONS A rigorously designed and executed sexual assault resistance program was successful in decreasing the occurrence of rape, attempted rape, and other forms of victimization among first-year university women. Copyright © 2015 Massachusetts Medical Society. All rights reserved.","author":[{"dropping-particle":"","family":"Senn","given":"Charlene Y.","non-dropping-particle":"","parse-names":false,"suffix":""},{"dropping-particle":"","family":"Eliasziw","given":"Misha","non-dropping-particle":"","parse-names":false,"suffix":""},{"dropping-particle":"","family":"Barata","given":"Paula C.","non-dropping-particle":"","parse-names":false,"suffix":""},{"dropping-particle":"","family":"Thurston","given":"Wilfreda E","non-dropping-particle":"","parse-names":false,"suffix":""},{"dropping-particle":"","family":"Newby-Clark","given":"Ian R","non-dropping-particle":"","parse-names":false,"suffix":""},{"dropping-particle":"","family":"Radtke","given":"H Lorraine","non-dropping-particle":"","parse-names":false,"suffix":""},{"dropping-particle":"","family":"Hobden","given":"Karen L","non-dropping-particle":"","parse-names":false,"suffix":""}],"container-title":"New England Journal of Medicine","id":"ITEM-1","issue":"24","issued":{"date-parts":[["2015"]]},"note":"From Duplicate 2 (Efficacy of a sexual assault resistance program for university women - Senn, Charlene Y.; Eliasziw, Misha; Barata, P C; Thurston, W E; Newby-Clark, I R; Radtke, H L; Hobden, K L)\n\nCited By :107\nExport Date: 27 June 2020","page":"2326-2335","title":"Efficacy of a sexual assault resistance program for university women","type":"article-journal","volume":"372"},"uris":["http://www.mendeley.com/documents/?uuid=892a0515-96db-4d27-b2cd-d565147e3cb7"]}],"mendeley":{"formattedCitation":"(Senn et al., 2015)","plainTextFormattedCitation":"(Senn et al., 2015)","previouslyFormattedCitation":"(Senn et al., 2015)"},"properties":{"noteIndex":0},"schema":"https://github.com/citation-style-language/schema/raw/master/csl-citation.json"}</w:instrText>
      </w:r>
      <w:r w:rsidR="003C1A10">
        <w:fldChar w:fldCharType="separate"/>
      </w:r>
      <w:r w:rsidR="00870ABE" w:rsidRPr="00870ABE">
        <w:rPr>
          <w:noProof/>
        </w:rPr>
        <w:t>(Senn et al., 2015)</w:t>
      </w:r>
      <w:r w:rsidR="003C1A10">
        <w:fldChar w:fldCharType="end"/>
      </w:r>
      <w:r w:rsidR="003C1A10" w:rsidRPr="006A192A">
        <w:t xml:space="preserve">, sustained two years </w:t>
      </w:r>
      <w:r w:rsidRPr="006A192A">
        <w:t>post</w:t>
      </w:r>
      <w:r>
        <w:t>-</w:t>
      </w:r>
      <w:r w:rsidR="003C1A10" w:rsidRPr="006A192A">
        <w:t>training</w:t>
      </w:r>
      <w:r w:rsidR="003C1A10">
        <w:t xml:space="preserve"> </w:t>
      </w:r>
      <w:r w:rsidR="003C1A10">
        <w:fldChar w:fldCharType="begin" w:fldLock="1"/>
      </w:r>
      <w:r w:rsidR="00082EEB">
        <w:instrText>ADDIN CSL_CITATION {"citationItems":[{"id":"ITEM-1","itemData":{"DOI":"10.1177/0361684317690119","ISBN":"0361-6843","ISSN":"0361-6843","abstract":"We report the secondary outcomes and longevity of efficacy from a randomized controlled trial that evaluated a novel sexual assault resistance program designed for first-year women university students. Participants (N = 893) were randomly assigned to receive the Enhanced Assess, Acknowledge, Act (EAAA) program or a selection of brochures (control). Perception of personal risk, self-defense self-efficacy, and rape myth acceptance was assessed at baseline; 1-week postintervention; and 6-, 12-, 18-, and 24-month postrandomization. Risk detection was assessed at 1 week, 6 months, and 12 months. Sexual assault experience and knowledge of effective resistance strategies were assessed at all follow-ups. The EAAA program produced significant increases in women's perception of personal risk, self-defense self-efficacy, and knowledge of effective (forceful verbal and physical) resistance strategies; the program also produced decreases in general rape myth acceptance and woman blaming over the entire 24-month follow-up period. Risk detection was significantly improved for the intervention group at post-test. The program significantly reduced the risk of completed and attempted rape, attempted coercion, and nonconsensual sexual contact over the entire follow-up period, yielding reductions between 30% and 64% at 2 years. The EAAA program produces long-lasting changes in secondary outcomes and in the incidence of sexual assault experienced by women students. Universities can reduce the harm and the negative health consequences that young women experience as a result of campus sexual assault by implementing this program. Online slides for instructors who want to use this article for teaching are available on PWQ's website at http://journals.sagepub.com/page/pwq/suppl/index.","author":[{"dropping-particle":"","family":"Senn","given":"Charlene Y.","non-dropping-particle":"","parse-names":false,"suffix":""},{"dropping-particle":"","family":"Eliasziw","given":"Misha","non-dropping-particle":"","parse-names":false,"suffix":""},{"dropping-particle":"","family":"Hobden","given":"Karen L","non-dropping-particle":"","parse-names":false,"suffix":""},{"dropping-particle":"","family":"Newby-Clark","given":"Ian R","non-dropping-particle":"","parse-names":false,"suffix":""},{"dropping-particle":"","family":"Barata","given":"Paula C.","non-dropping-particle":"","parse-names":false,"suffix":""},{"dropping-particle":"","family":"Radtke","given":"H Lorraine","non-dropping-particle":"","parse-names":false,"suffix":""},{"dropping-particle":"","family":"Thurston","given":"Wilfreda E","non-dropping-particle":"","parse-names":false,"suffix":""}],"container-title":"Psychology of Women Quarterly","id":"ITEM-1","issue":"2","issued":{"date-parts":[["2017"]]},"note":"From Duplicate 2 (Secondary and 2-Year Outcomes of a Sexual Assault Resistance Program for University Women - Senn, Charlene Y; Eliasziw, Misha; Hobden, Karen L; Newby-Clark, Ian R; Barata, Paula C; Radtke, H Lorraine; Thurston, Wilfreda E)\n\nresearch; tables/charts; randomized controlled trial. Journal Subset: Biomedical; Europe; Peer Reviewed; UK &amp;amp; Ireland. NLM UID: 7613934.","page":"147-162","publisher":"Sage Publications Inc.","publisher-place":"Thousand Oaks, California","title":"Secondary and 2-year outcomes of a sexual assault resistance program for university women","type":"article-journal","volume":"41"},"uris":["http://www.mendeley.com/documents/?uuid=59aff18d-9c25-4c73-8751-f62d871a95d4"]},{"id":"ITEM-2","itemData":{"DOI":"10.1056/NEJMsa1411131","ISSN":"0028-4793","abstract":"BACKGROUND Young women attending university are at substantial risk for being sexually assaulted, primarily by male acquaintances, but effective strategies to reduce this risk remain elusive. METHODS We randomly assigned first-year female students at three universities in Canada to the Enhanced Assess, Acknowledge, Act Sexual Assault Resistance program (resistance group) or to a session providing access to brochures on sexual assault, as was common university practice (control group). The resistance program consists of four 3-hour units in which information is provided and skills are taught and practiced, with the goal of being able to assess risk from acquaintances, overcome emotional barriers in acknowledging danger, and engage in effective verbal and physical self-defense. The primary outcome was completed rape, as measured by the Sexual Experiences Survey-Short Form Victimization, during 1 year of follow-up. RESULTS A total of 451 women were assigned to the resistance group and 442 women to the control group. Of the women assigned to the resistance group, 91% attended at least three of the four units. The 1-year risk of completed rape was significantly lower in the resistance group than in the control group (5.2% vs. 9.8%; relative risk reduction, 46.3% [95% confidence interval, 6.8 to 69.1]; P = 0.02). The 1-year risk of attempted rape was also significantly lower in the resistance group (3.4% vs. 9.3%, &lt;0.001). CONCLUSIONS A rigorously designed and executed sexual assault resistance program was successful in decreasing the occurrence of rape, attempted rape, and other forms of victimization among first-year university women. Copyright © 2015 Massachusetts Medical Society. All rights reserved.","author":[{"dropping-particle":"","family":"Senn","given":"Charlene Y.","non-dropping-particle":"","parse-names":false,"suffix":""},{"dropping-particle":"","family":"Eliasziw","given":"Misha","non-dropping-particle":"","parse-names":false,"suffix":""},{"dropping-particle":"","family":"Barata","given":"Paula C.","non-dropping-particle":"","parse-names":false,"suffix":""},{"dropping-particle":"","family":"Thurston","given":"Wilfreda E","non-dropping-particle":"","parse-names":false,"suffix":""},{"dropping-particle":"","family":"Newby-Clark","given":"Ian R","non-dropping-particle":"","parse-names":false,"suffix":""},{"dropping-particle":"","family":"Radtke","given":"H Lorraine","non-dropping-particle":"","parse-names":false,"suffix":""},{"dropping-particle":"","family":"Hobden","given":"Karen L","non-dropping-particle":"","parse-names":false,"suffix":""}],"container-title":"New England Journal of Medicine","id":"ITEM-2","issue":"24","issued":{"date-parts":[["2015"]]},"note":"From Duplicate 2 (Efficacy of a sexual assault resistance program for university women - Senn, Charlene Y.; Eliasziw, Misha; Barata, P C; Thurston, W E; Newby-Clark, I R; Radtke, H L; Hobden, K L)\n\nCited By :107\nExport Date: 27 June 2020","page":"2326-2335","title":"Efficacy of a sexual assault resistance program for university women","type":"article-journal","volume":"372"},"uris":["http://www.mendeley.com/documents/?uuid=892a0515-96db-4d27-b2cd-d565147e3cb7"]}],"mendeley":{"formattedCitation":"(Senn et al., 2015, 2017)","plainTextFormattedCitation":"(Senn et al., 2015, 2017)","previouslyFormattedCitation":"(Senn et al., 2015, 2017)"},"properties":{"noteIndex":0},"schema":"https://github.com/citation-style-language/schema/raw/master/csl-citation.json"}</w:instrText>
      </w:r>
      <w:r w:rsidR="003C1A10">
        <w:fldChar w:fldCharType="separate"/>
      </w:r>
      <w:r w:rsidR="00545B73" w:rsidRPr="00545B73">
        <w:rPr>
          <w:noProof/>
        </w:rPr>
        <w:t>(Senn et al., 2015, 2017)</w:t>
      </w:r>
      <w:r w:rsidR="003C1A10">
        <w:fldChar w:fldCharType="end"/>
      </w:r>
      <w:r w:rsidR="003C1A10">
        <w:t>.</w:t>
      </w:r>
      <w:r w:rsidR="003C1A10" w:rsidRPr="006A192A">
        <w:t xml:space="preserve"> </w:t>
      </w:r>
    </w:p>
    <w:p w14:paraId="72DF64FD" w14:textId="05DEB8A2" w:rsidR="003C1A10" w:rsidRDefault="003C1A10" w:rsidP="003C1A10">
      <w:pPr>
        <w:pStyle w:val="LTU-Body10pt"/>
      </w:pPr>
      <w:r>
        <w:t xml:space="preserve">While relationship education in schools has been occurring for many years in Australia, there is limited rigorous or controlled </w:t>
      </w:r>
      <w:r w:rsidR="002137EE">
        <w:t>trial-</w:t>
      </w:r>
      <w:r>
        <w:t xml:space="preserve">level evidence of its impact (Hooker et al., 2020). The </w:t>
      </w:r>
      <w:r w:rsidRPr="028605AC">
        <w:rPr>
          <w:i/>
          <w:iCs/>
        </w:rPr>
        <w:t>Resilience, Rights and Respectful Relationships</w:t>
      </w:r>
      <w:r>
        <w:t xml:space="preserve"> program, designed to improve attitudes and respectful peer relationships in secondary schools, is currently undergoing outcome evaluation. The intervention includes Year 7 students in 12 schools across </w:t>
      </w:r>
      <w:r>
        <w:lastRenderedPageBreak/>
        <w:t>states</w:t>
      </w:r>
      <w:r w:rsidR="002137EE">
        <w:t>—</w:t>
      </w:r>
      <w:r>
        <w:t xml:space="preserve">compared with </w:t>
      </w:r>
      <w:r w:rsidR="00A60A0B">
        <w:t>schools yet to receive the intervention</w:t>
      </w:r>
      <w:r>
        <w:t xml:space="preserve">. This study is funded by Australia’s National Research </w:t>
      </w:r>
      <w:r w:rsidR="05FDFEEB">
        <w:t>Organisation</w:t>
      </w:r>
      <w:r>
        <w:t xml:space="preserve"> for Women’s Safety</w:t>
      </w:r>
      <w:r w:rsidR="000B0F61">
        <w:t xml:space="preserve"> </w:t>
      </w:r>
      <w:r w:rsidR="000B0F61">
        <w:fldChar w:fldCharType="begin" w:fldLock="1"/>
      </w:r>
      <w:r w:rsidR="009A27CE">
        <w:instrText>ADDIN CSL_CITATION {"citationItems":[{"id":"ITEM-1","itemData":{"URL":"https://www.anrows.org.au/project/respectful-relationships-in-secondary-schools-a-control-trial-study-and-network-evaluation-of-a-classroom-program-for-prevention-of-gender-based-violence/","accessed":{"date-parts":[["2021","2","23"]]},"author":[{"dropping-particle":"","family":"Australia’s National Research Organisation for Women’s Safety (ANROWS)","given":"","non-dropping-particle":"","parse-names":false,"suffix":""}],"id":"ITEM-1","issued":{"date-parts":[["2021"]]},"title":"Respectful relationships in secondary schools: A control trial study and network evaluation of a classroom program for prevention of gender-based violence","type":"webpage"},"uris":["http://www.mendeley.com/documents/?uuid=63d84e2e-ce61-4573-a466-4d9eeb38678d"]}],"mendeley":{"formattedCitation":"(Australia’s National Research Organisation for Women’s Safety (ANROWS), 2021)","manualFormatting":"(ANROWS, 2021)","plainTextFormattedCitation":"(Australia’s National Research Organisation for Women’s Safety (ANROWS), 2021)","previouslyFormattedCitation":"(Australia’s National Research Organisation for Women’s Safety (ANROWS), 2021)"},"properties":{"noteIndex":0},"schema":"https://github.com/citation-style-language/schema/raw/master/csl-citation.json"}</w:instrText>
      </w:r>
      <w:r w:rsidR="000B0F61">
        <w:fldChar w:fldCharType="separate"/>
      </w:r>
      <w:r w:rsidR="000B0F61" w:rsidRPr="000B0F61">
        <w:rPr>
          <w:noProof/>
        </w:rPr>
        <w:t>(ANROWS, 2021)</w:t>
      </w:r>
      <w:r w:rsidR="000B0F61">
        <w:fldChar w:fldCharType="end"/>
      </w:r>
      <w:r>
        <w:t xml:space="preserve">. </w:t>
      </w:r>
    </w:p>
    <w:p w14:paraId="7F324467" w14:textId="0C912328" w:rsidR="003C1A10" w:rsidRDefault="003C1A10" w:rsidP="003C1A10">
      <w:pPr>
        <w:pStyle w:val="LTU-Body10pt"/>
        <w:rPr>
          <w:noProof/>
        </w:rPr>
      </w:pPr>
      <w:r w:rsidRPr="006A192A">
        <w:rPr>
          <w:i/>
          <w:iCs/>
        </w:rPr>
        <w:t>In the Picture</w:t>
      </w:r>
      <w:r w:rsidRPr="006A192A">
        <w:t xml:space="preserve"> is an Australian framework and resource for </w:t>
      </w:r>
      <w:r>
        <w:t xml:space="preserve">secondary </w:t>
      </w:r>
      <w:r w:rsidRPr="006A192A">
        <w:t xml:space="preserve">schools that can be tailored to address the influence of </w:t>
      </w:r>
      <w:r>
        <w:t xml:space="preserve">explicit sexual imagery like </w:t>
      </w:r>
      <w:r w:rsidRPr="006A192A">
        <w:t xml:space="preserve">pornography </w:t>
      </w:r>
      <w:r w:rsidRPr="006A192A">
        <w:fldChar w:fldCharType="begin" w:fldLock="1"/>
      </w:r>
      <w:r w:rsidR="00C03231">
        <w:instrText>ADDIN CSL_CITATION {"citationItems":[{"id":"ITEM-1","itemData":{"DOI":"10.1080/15546128.2020.1856744","ISSN":"15546136","abstract":"There is growing community and policy interest in educational efforts among children and young people to address pornography. Education on pornography increasingly is seen as a necessary strategy in the context of young people’s widespread exposure to pornography and the potential shifts in young people’s sexual and gendered lives and relations which this entails. What, then, does promising practice in education to address pornography’s influence look like? This article offers a framework for school-based pornography education. It begins with the rationale for conducting pornography education in schools in particular. The article then offers a detailed account of a proposed practice framework for school-based pornography education, emphasizing such principles as a whole-school approach, a robust conceptual approach, grounding in sexuality education, and participatory teaching and learning. It concludes by assessing an existing school curriculum resource, In The Picture, against this framework.","author":[{"dropping-particle":"","family":"Crabbe","given":"Maree","non-dropping-particle":"","parse-names":false,"suffix":""},{"dropping-particle":"","family":"Flood","given":"Michael","non-dropping-particle":"","parse-names":false,"suffix":""}],"container-title":"American Journal of Sexuality Education","id":"ITEM-1","issued":{"date-parts":[["2021"]]},"title":"School-dased education to address pornography’s influence on young people: A proposed practice framework","type":"article-journal"},"uris":["http://www.mendeley.com/documents/?uuid=7c3ddf26-beca-36ed-a19d-1678c01efecb"]}],"mendeley":{"formattedCitation":"(Crabbe &amp; Flood, 2021)","plainTextFormattedCitation":"(Crabbe &amp; Flood, 2021)","previouslyFormattedCitation":"(Crabbe &amp; Flood, 2021)"},"properties":{"noteIndex":0},"schema":"https://github.com/citation-style-language/schema/raw/master/csl-citation.json"}</w:instrText>
      </w:r>
      <w:r w:rsidRPr="006A192A">
        <w:fldChar w:fldCharType="separate"/>
      </w:r>
      <w:r w:rsidRPr="006A192A">
        <w:rPr>
          <w:noProof/>
        </w:rPr>
        <w:t>(Crabbe &amp; Flood, 2021)</w:t>
      </w:r>
      <w:r w:rsidRPr="006A192A">
        <w:fldChar w:fldCharType="end"/>
      </w:r>
      <w:r w:rsidRPr="006A192A">
        <w:t xml:space="preserve">. </w:t>
      </w:r>
      <w:r>
        <w:t>T</w:t>
      </w:r>
      <w:r w:rsidRPr="006A192A">
        <w:t>his program is yet to be evaluated.</w:t>
      </w:r>
      <w:r w:rsidR="003957F9" w:rsidRPr="003957F9">
        <w:rPr>
          <w:noProof/>
        </w:rPr>
        <w:t xml:space="preserve"> </w:t>
      </w:r>
    </w:p>
    <w:p w14:paraId="5BAD0544" w14:textId="77777777" w:rsidR="0019421E" w:rsidRPr="003E2887" w:rsidRDefault="0019421E" w:rsidP="00A429E0">
      <w:pPr>
        <w:pStyle w:val="Pullouts"/>
        <w:rPr>
          <w:caps/>
        </w:rPr>
      </w:pPr>
      <w:r w:rsidRPr="003E2887">
        <w:t>Example</w:t>
      </w:r>
      <w:r>
        <w:t>s</w:t>
      </w:r>
      <w:r w:rsidRPr="003E2887">
        <w:t>:</w:t>
      </w:r>
    </w:p>
    <w:p w14:paraId="17AFD9F9" w14:textId="66984F3B" w:rsidR="0019421E" w:rsidRPr="003E2887" w:rsidRDefault="00A429E0" w:rsidP="00A429E0">
      <w:pPr>
        <w:pStyle w:val="Pullouts"/>
        <w:rPr>
          <w:caps/>
        </w:rPr>
      </w:pPr>
      <w:r w:rsidRPr="00A429E0">
        <w:rPr>
          <w:i w:val="0"/>
        </w:rPr>
        <w:t>-</w:t>
      </w:r>
      <w:r>
        <w:t xml:space="preserve"> </w:t>
      </w:r>
      <w:r w:rsidR="0019421E">
        <w:t>EAAA</w:t>
      </w:r>
    </w:p>
    <w:p w14:paraId="5049D7E2" w14:textId="44D08B1C" w:rsidR="0019421E" w:rsidRPr="003E2887" w:rsidRDefault="00A429E0" w:rsidP="00A429E0">
      <w:pPr>
        <w:pStyle w:val="Pullouts"/>
        <w:rPr>
          <w:caps/>
        </w:rPr>
      </w:pPr>
      <w:r>
        <w:t xml:space="preserve">- </w:t>
      </w:r>
      <w:r w:rsidR="0019421E" w:rsidRPr="003E2887">
        <w:t>Real consent</w:t>
      </w:r>
      <w:r w:rsidR="0019421E" w:rsidRPr="003E2887">
        <w:rPr>
          <w:caps/>
        </w:rPr>
        <w:t xml:space="preserve"> </w:t>
      </w:r>
    </w:p>
    <w:p w14:paraId="3BEBDC4F" w14:textId="2892B432" w:rsidR="0019421E" w:rsidRPr="003E2887" w:rsidRDefault="00A429E0" w:rsidP="00A429E0">
      <w:pPr>
        <w:pStyle w:val="Pullouts"/>
        <w:rPr>
          <w:caps/>
        </w:rPr>
      </w:pPr>
      <w:r>
        <w:t xml:space="preserve">- </w:t>
      </w:r>
      <w:r w:rsidR="0019421E" w:rsidRPr="003E2887">
        <w:t>Resilience, rights and respectful relationships</w:t>
      </w:r>
    </w:p>
    <w:p w14:paraId="626F890E" w14:textId="6C8304CF" w:rsidR="0019421E" w:rsidRPr="003E2887" w:rsidRDefault="00A429E0" w:rsidP="00A429E0">
      <w:pPr>
        <w:pStyle w:val="Pullouts"/>
        <w:rPr>
          <w:caps/>
        </w:rPr>
      </w:pPr>
      <w:r>
        <w:t xml:space="preserve">- </w:t>
      </w:r>
      <w:r w:rsidR="0019421E" w:rsidRPr="003E2887">
        <w:t>In the picture</w:t>
      </w:r>
    </w:p>
    <w:p w14:paraId="36FE7A77" w14:textId="77777777" w:rsidR="0019421E" w:rsidRDefault="0019421E" w:rsidP="003C1A10">
      <w:pPr>
        <w:pStyle w:val="LTU-Body10pt"/>
      </w:pPr>
    </w:p>
    <w:p w14:paraId="7C7A4EB8" w14:textId="77777777" w:rsidR="00230751" w:rsidRPr="006A192A" w:rsidRDefault="00230751" w:rsidP="003C1A10">
      <w:pPr>
        <w:pStyle w:val="LTU-Body10pt"/>
      </w:pPr>
    </w:p>
    <w:p w14:paraId="038AD7E9" w14:textId="5F8EF720" w:rsidR="008F5FC2" w:rsidRPr="006A192A" w:rsidRDefault="008F5FC2" w:rsidP="004A4793">
      <w:pPr>
        <w:spacing w:after="0" w:line="240" w:lineRule="auto"/>
        <w:sectPr w:rsidR="008F5FC2" w:rsidRPr="006A192A" w:rsidSect="00451DAC">
          <w:type w:val="continuous"/>
          <w:pgSz w:w="11906" w:h="16838" w:code="9"/>
          <w:pgMar w:top="2240" w:right="709" w:bottom="1276" w:left="1418" w:header="709" w:footer="624" w:gutter="0"/>
          <w:cols w:space="708"/>
          <w:docGrid w:linePitch="360"/>
        </w:sectPr>
      </w:pPr>
    </w:p>
    <w:p w14:paraId="0C4B8518" w14:textId="165DF864" w:rsidR="004A4793" w:rsidRDefault="00F92EE7" w:rsidP="003C6358">
      <w:pPr>
        <w:sectPr w:rsidR="004A4793" w:rsidSect="00451DAC">
          <w:pgSz w:w="16838" w:h="11906" w:orient="landscape" w:code="9"/>
          <w:pgMar w:top="1418" w:right="2240" w:bottom="709" w:left="1276" w:header="709" w:footer="624" w:gutter="0"/>
          <w:cols w:space="708"/>
          <w:docGrid w:linePitch="360"/>
        </w:sectPr>
      </w:pPr>
      <w:r>
        <w:rPr>
          <w:noProof/>
          <w:lang w:eastAsia="en-AU"/>
        </w:rPr>
        <w:lastRenderedPageBreak/>
        <mc:AlternateContent>
          <mc:Choice Requires="wps">
            <w:drawing>
              <wp:anchor distT="0" distB="0" distL="114300" distR="114300" simplePos="0" relativeHeight="251663386" behindDoc="0" locked="0" layoutInCell="1" allowOverlap="1" wp14:anchorId="0011FCD2" wp14:editId="3E5B70BC">
                <wp:simplePos x="0" y="0"/>
                <wp:positionH relativeFrom="column">
                  <wp:posOffset>-187736</wp:posOffset>
                </wp:positionH>
                <wp:positionV relativeFrom="paragraph">
                  <wp:posOffset>5434069</wp:posOffset>
                </wp:positionV>
                <wp:extent cx="7907655" cy="552450"/>
                <wp:effectExtent l="0" t="0" r="0" b="6350"/>
                <wp:wrapThrough wrapText="bothSides">
                  <wp:wrapPolygon edited="0">
                    <wp:start x="0" y="0"/>
                    <wp:lineTo x="0" y="20855"/>
                    <wp:lineTo x="21508" y="20855"/>
                    <wp:lineTo x="21508" y="0"/>
                    <wp:lineTo x="0" y="0"/>
                  </wp:wrapPolygon>
                </wp:wrapThrough>
                <wp:docPr id="17" name="Text Box 17" descr="Figure 4:  Safe environments&#10;"/>
                <wp:cNvGraphicFramePr/>
                <a:graphic xmlns:a="http://schemas.openxmlformats.org/drawingml/2006/main">
                  <a:graphicData uri="http://schemas.microsoft.com/office/word/2010/wordprocessingShape">
                    <wps:wsp>
                      <wps:cNvSpPr txBox="1"/>
                      <wps:spPr>
                        <a:xfrm>
                          <a:off x="0" y="0"/>
                          <a:ext cx="7907655" cy="552450"/>
                        </a:xfrm>
                        <a:prstGeom prst="rect">
                          <a:avLst/>
                        </a:prstGeom>
                        <a:solidFill>
                          <a:prstClr val="white"/>
                        </a:solidFill>
                        <a:ln>
                          <a:noFill/>
                        </a:ln>
                      </wps:spPr>
                      <wps:txbx>
                        <w:txbxContent>
                          <w:p w14:paraId="15CE5530" w14:textId="7866DE8C" w:rsidR="002423D7" w:rsidRPr="00A65BB7" w:rsidRDefault="002423D7" w:rsidP="00183C4B">
                            <w:pPr>
                              <w:pStyle w:val="Caption"/>
                              <w:rPr>
                                <w:noProof/>
                                <w:sz w:val="18"/>
                              </w:rPr>
                            </w:pPr>
                            <w:bookmarkStart w:id="58" w:name="_Toc65156131"/>
                            <w:r>
                              <w:t xml:space="preserve">Figure </w:t>
                            </w:r>
                            <w:r w:rsidR="00B95DBB">
                              <w:t>4</w:t>
                            </w:r>
                            <w:r w:rsidR="0019421E">
                              <w:t xml:space="preserve">: </w:t>
                            </w:r>
                            <w:r>
                              <w:t xml:space="preserve"> Safe environments</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11FCD2" id="Text Box 17" o:spid="_x0000_s1029" type="#_x0000_t202" alt="Figure 4:  Safe environments&#10;" style="position:absolute;margin-left:-14.8pt;margin-top:427.9pt;width:622.65pt;height:43.5pt;z-index:251663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" stroked="f">
                <v:textbox inset="0,0,0,0">
                  <w:txbxContent>
                    <w:p w14:paraId="15CE5530" w14:textId="7866DE8C" w:rsidR="002423D7" w:rsidRPr="00A65BB7" w:rsidRDefault="002423D7" w:rsidP="00183C4B">
                      <w:pPr>
                        <w:pStyle w:val="Caption"/>
                        <w:rPr>
                          <w:noProof/>
                          <w:sz w:val="18"/>
                        </w:rPr>
                      </w:pPr>
                      <w:bookmarkStart w:id="61" w:name="_Toc65156131"/>
                      <w:r>
                        <w:t xml:space="preserve">Figure </w:t>
                      </w:r>
                      <w:r w:rsidR="00B95DBB">
                        <w:t>4</w:t>
                      </w:r>
                      <w:r w:rsidR="0019421E">
                        <w:t xml:space="preserve">: </w:t>
                      </w:r>
                      <w:r>
                        <w:t xml:space="preserve"> Safe environments</w:t>
                      </w:r>
                      <w:bookmarkEnd w:id="61"/>
                    </w:p>
                  </w:txbxContent>
                </v:textbox>
                <w10:wrap type="through"/>
              </v:shape>
            </w:pict>
          </mc:Fallback>
        </mc:AlternateContent>
      </w:r>
      <w:r w:rsidR="008A682F">
        <w:rPr>
          <w:noProof/>
          <w:lang w:eastAsia="en-AU"/>
        </w:rPr>
        <w:drawing>
          <wp:anchor distT="0" distB="0" distL="114300" distR="114300" simplePos="0" relativeHeight="251669530" behindDoc="0" locked="0" layoutInCell="1" allowOverlap="1" wp14:anchorId="2E0ECB41" wp14:editId="210EFB42">
            <wp:simplePos x="0" y="0"/>
            <wp:positionH relativeFrom="column">
              <wp:posOffset>0</wp:posOffset>
            </wp:positionH>
            <wp:positionV relativeFrom="paragraph">
              <wp:posOffset>0</wp:posOffset>
            </wp:positionV>
            <wp:extent cx="8942070" cy="5387975"/>
            <wp:effectExtent l="0" t="0" r="0" b="0"/>
            <wp:wrapNone/>
            <wp:docPr id="33" name="Picture 33" descr="Diagram, schematic&#10;&#10;Graphic with three columns headed&#10;Activities/Interventions, Short-term Outcomes, Long-term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 schematic&#10;&#10;Graphic with three columns headed&#10;Activities/Interventions, Short-term Outcomes, Long-term Outcomes"/>
                    <pic:cNvPicPr/>
                  </pic:nvPicPr>
                  <pic:blipFill>
                    <a:blip r:embed="rId28">
                      <a:extLst>
                        <a:ext uri="{28A0092B-C50C-407E-A947-70E740481C1C}">
                          <a14:useLocalDpi xmlns:a14="http://schemas.microsoft.com/office/drawing/2010/main" val="0"/>
                        </a:ext>
                      </a:extLst>
                    </a:blip>
                    <a:stretch>
                      <a:fillRect/>
                    </a:stretch>
                  </pic:blipFill>
                  <pic:spPr>
                    <a:xfrm>
                      <a:off x="0" y="0"/>
                      <a:ext cx="8942070" cy="5387975"/>
                    </a:xfrm>
                    <a:prstGeom prst="rect">
                      <a:avLst/>
                    </a:prstGeom>
                  </pic:spPr>
                </pic:pic>
              </a:graphicData>
            </a:graphic>
            <wp14:sizeRelH relativeFrom="page">
              <wp14:pctWidth>0</wp14:pctWidth>
            </wp14:sizeRelH>
            <wp14:sizeRelV relativeFrom="page">
              <wp14:pctHeight>0</wp14:pctHeight>
            </wp14:sizeRelV>
          </wp:anchor>
        </w:drawing>
      </w:r>
    </w:p>
    <w:p w14:paraId="434F16BB" w14:textId="00115044" w:rsidR="003C4C52" w:rsidRPr="0019421E" w:rsidRDefault="00A83370" w:rsidP="00A429E0">
      <w:pPr>
        <w:pStyle w:val="LTU-Subhead1"/>
      </w:pPr>
      <w:bookmarkStart w:id="59" w:name="_Toc67035852"/>
      <w:r w:rsidRPr="00680E14">
        <w:lastRenderedPageBreak/>
        <w:t xml:space="preserve">Safe </w:t>
      </w:r>
      <w:r w:rsidRPr="00A429E0">
        <w:t>Environments</w:t>
      </w:r>
      <w:bookmarkEnd w:id="59"/>
      <w:r w:rsidRPr="00680E14">
        <w:t xml:space="preserve"> </w:t>
      </w:r>
    </w:p>
    <w:p w14:paraId="4CD80C7A" w14:textId="087794C0" w:rsidR="00A83370" w:rsidRPr="00A429E0" w:rsidRDefault="00A83370" w:rsidP="00A429E0">
      <w:pPr>
        <w:pStyle w:val="LTU-Subhead2"/>
      </w:pPr>
      <w:r w:rsidRPr="0019421E">
        <w:t>Rationale</w:t>
      </w:r>
      <w:r w:rsidR="002137EE" w:rsidRPr="0019421E">
        <w:t xml:space="preserve"> </w:t>
      </w:r>
    </w:p>
    <w:p w14:paraId="17636FC7" w14:textId="55F07B06" w:rsidR="00A83370" w:rsidRDefault="00A83370" w:rsidP="00A83370">
      <w:pPr>
        <w:pStyle w:val="LTU-Body10pt"/>
      </w:pPr>
      <w:r>
        <w:t>All community members deserve to be safe from SVH in any environment or setting, including at school, work, online and at home. In the workplace, women disproportionately experience sexual harassment and face major barriers to reporting the abuse</w:t>
      </w:r>
      <w:r w:rsidR="00870ABE">
        <w:t xml:space="preserve"> </w:t>
      </w:r>
      <w:r>
        <w:fldChar w:fldCharType="begin" w:fldLock="1"/>
      </w:r>
      <w:r w:rsidR="00367D7A">
        <w:instrText>ADDIN CSL_CITATION {"citationItems":[{"id":"ITEM-1","itemData":{"author":[{"dropping-particle":"","family":"Australian Human Rights Commission","given":"","non-dropping-particle":"","parse-names":false,"suffix":""}],"id":"ITEM-1","issued":{"date-parts":[["2020"]]},"publisher":"Australian Human Rights Commission","publisher-place":"Sydney","title":"Respect@work: National inquiry into sexual harassment in Australian workplaces","type":"report"},"uris":["http://www.mendeley.com/documents/?uuid=1471c1d2-e9d4-3a0f-98d9-dd1a5f082efc"]}],"mendeley":{"formattedCitation":"(Australian Human Rights Commission, 2020a)","manualFormatting":"(AHRC, 2020a)","plainTextFormattedCitation":"(Australian Human Rights Commission, 2020a)","previouslyFormattedCitation":"(Australian Human Rights Commission, 2020a)"},"properties":{"noteIndex":0},"schema":"https://github.com/citation-style-language/schema/raw/master/csl-citation.json"}</w:instrText>
      </w:r>
      <w:r>
        <w:fldChar w:fldCharType="separate"/>
      </w:r>
      <w:r w:rsidR="00333EB2" w:rsidRPr="4A008F5A">
        <w:rPr>
          <w:noProof/>
        </w:rPr>
        <w:t>(A</w:t>
      </w:r>
      <w:r w:rsidR="0090409C" w:rsidRPr="4A008F5A">
        <w:rPr>
          <w:noProof/>
        </w:rPr>
        <w:t>HRC</w:t>
      </w:r>
      <w:r w:rsidR="00333EB2" w:rsidRPr="4A008F5A">
        <w:rPr>
          <w:noProof/>
        </w:rPr>
        <w:t>, 2020a)</w:t>
      </w:r>
      <w:r>
        <w:fldChar w:fldCharType="end"/>
      </w:r>
      <w:r w:rsidR="00B84AAE">
        <w:t xml:space="preserve">. </w:t>
      </w:r>
      <w:r w:rsidR="6922D75F">
        <w:t>The prevalence of sexual harassment is particularly high for young women, especially those in the information, media and telecommunications industry</w:t>
      </w:r>
      <w:r w:rsidR="00762B03">
        <w:t xml:space="preserve"> </w:t>
      </w:r>
      <w:r w:rsidR="00762B03">
        <w:fldChar w:fldCharType="begin" w:fldLock="1"/>
      </w:r>
      <w:r w:rsidR="00DC4644">
        <w:instrText>ADDIN CSL_CITATION {"citationItems":[{"id":"ITEM-1","itemData":{"author":[{"dropping-particle":"","family":"Australian Human Rights Commission","given":"","non-dropping-particle":"","parse-names":false,"suffix":""}],"id":"ITEM-1","issued":{"date-parts":[["2018"]]},"publisher-place":"Sydney","title":"Everyone's business: The fourth national survey on sexual harassment in Australian workplaces","type":"report"},"uris":["http://www.mendeley.com/documents/?uuid=0e29f401-6fe5-4c1c-a41a-6d23d10c03e9"]}],"mendeley":{"formattedCitation":"(Australian Human Rights Commission, 2018)","manualFormatting":"(AHRC, 2018)","plainTextFormattedCitation":"(Australian Human Rights Commission, 2018)","previouslyFormattedCitation":"(Australian Human Rights Commission, 2018)"},"properties":{"noteIndex":0},"schema":"https://github.com/citation-style-language/schema/raw/master/csl-citation.json"}</w:instrText>
      </w:r>
      <w:r w:rsidR="00762B03">
        <w:fldChar w:fldCharType="separate"/>
      </w:r>
      <w:r w:rsidR="00762B03" w:rsidRPr="00762B03">
        <w:rPr>
          <w:noProof/>
        </w:rPr>
        <w:t>(A</w:t>
      </w:r>
      <w:r w:rsidR="00762B03">
        <w:rPr>
          <w:noProof/>
        </w:rPr>
        <w:t>HRC,</w:t>
      </w:r>
      <w:r w:rsidR="00762B03" w:rsidRPr="00762B03">
        <w:rPr>
          <w:noProof/>
        </w:rPr>
        <w:t xml:space="preserve"> 2018)</w:t>
      </w:r>
      <w:r w:rsidR="00762B03">
        <w:fldChar w:fldCharType="end"/>
      </w:r>
      <w:r w:rsidR="6922D75F">
        <w:t xml:space="preserve">. </w:t>
      </w:r>
      <w:r>
        <w:t xml:space="preserve">In 2018, workplace sexual harassment cost the Australian economy approximately $3.8 billion </w:t>
      </w:r>
      <w:r w:rsidR="29B28DBC">
        <w:t>dollars.</w:t>
      </w:r>
      <w:r>
        <w:t xml:space="preserve"> Workplace SVH ranges from sexually suggestive “jokes”</w:t>
      </w:r>
      <w:r w:rsidR="0067723D">
        <w:t xml:space="preserve"> and</w:t>
      </w:r>
      <w:r>
        <w:t xml:space="preserve"> intrusive questions about women’s private lives, to sexual assault</w:t>
      </w:r>
      <w:r w:rsidR="00C07A88">
        <w:t>,</w:t>
      </w:r>
      <w:r>
        <w:t xml:space="preserve"> including rape. Technology is often used to perpetrate this harassment</w:t>
      </w:r>
      <w:r w:rsidR="3186B3B9">
        <w:t xml:space="preserve"> </w:t>
      </w:r>
      <w:r>
        <w:fldChar w:fldCharType="begin" w:fldLock="1"/>
      </w:r>
      <w:r w:rsidR="00367D7A">
        <w:instrText>ADDIN CSL_CITATION {"citationItems":[{"id":"ITEM-1","itemData":{"author":[{"dropping-particle":"","family":"Australian Human Rights Commission","given":"","non-dropping-particle":"","parse-names":false,"suffix":""}],"id":"ITEM-1","issued":{"date-parts":[["2020"]]},"publisher":"Australian Human Rights Commission","publisher-place":"Sydney","title":"Respect@work: National inquiry into sexual harassment in Australian workplaces","type":"report"},"uris":["http://www.mendeley.com/documents/?uuid=1471c1d2-e9d4-3a0f-98d9-dd1a5f082efc"]}],"mendeley":{"formattedCitation":"(Australian Human Rights Commission, 2020a)","manualFormatting":"(AHRC, 2020a)","plainTextFormattedCitation":"(Australian Human Rights Commission, 2020a)","previouslyFormattedCitation":"(Australian Human Rights Commission, 2020a)"},"properties":{"noteIndex":0},"schema":"https://github.com/citation-style-language/schema/raw/master/csl-citation.json"}</w:instrText>
      </w:r>
      <w:r>
        <w:fldChar w:fldCharType="separate"/>
      </w:r>
      <w:r w:rsidR="00333EB2" w:rsidRPr="4A008F5A">
        <w:rPr>
          <w:noProof/>
        </w:rPr>
        <w:t>(</w:t>
      </w:r>
      <w:r w:rsidR="0090409C" w:rsidRPr="4A008F5A">
        <w:rPr>
          <w:noProof/>
        </w:rPr>
        <w:t>AHRC</w:t>
      </w:r>
      <w:r w:rsidR="00333EB2" w:rsidRPr="4A008F5A">
        <w:rPr>
          <w:noProof/>
        </w:rPr>
        <w:t>, 2020a)</w:t>
      </w:r>
      <w:r>
        <w:fldChar w:fldCharType="end"/>
      </w:r>
      <w:r w:rsidR="5CC296D7">
        <w:t>.</w:t>
      </w:r>
      <w:r w:rsidR="008753AC">
        <w:t xml:space="preserve"> </w:t>
      </w:r>
    </w:p>
    <w:p w14:paraId="1EABDEF7" w14:textId="18695242" w:rsidR="009804B4" w:rsidRDefault="00A83370" w:rsidP="00A83370">
      <w:pPr>
        <w:pStyle w:val="LTU-Body10pt"/>
      </w:pPr>
      <w:r>
        <w:t>High rates of harassment and assault also occur on and around public transport, including trains, buses and taxis</w:t>
      </w:r>
      <w:r w:rsidR="00A03075">
        <w:t xml:space="preserve"> </w:t>
      </w:r>
      <w:r w:rsidR="006E6BC0">
        <w:fldChar w:fldCharType="begin" w:fldLock="1"/>
      </w:r>
      <w:r w:rsidR="00F70032">
        <w:instrText>ADDIN CSL_CITATION {"citationItems":[{"id":"ITEM-1","itemData":{"author":[{"dropping-particle":"","family":"Plan International","given":"","non-dropping-particle":"","parse-names":false,"suffix":""},{"dropping-particle":"","family":"Monash University","given":"","non-dropping-particle":"","parse-names":false,"suffix":""}],"id":"ITEM-1","issued":{"date-parts":[["2018"]]},"number-of-pages":"19","title":"Unsafe in the City - The everyday experiences of girls and young women","type":"report"},"uris":["http://www.mendeley.com/documents/?uuid=aa5b320b-a44b-3b99-9ef1-e6c46aaddd56"]},{"id":"ITEM-2","itemData":{"abstract":"This report summarizes the results of a survey of 517 tertiary students in Greater Melbourne on public transport safety undertaken from April to June 2018. The Melbourne survey was part of a 17-city international study on this topic. In line with other recent research in this area, we found extremely high rates of victimisation in relation to public transport. Almost four fifths (79.4%) of female students surveyed and an equivalent proportion of LGBTI+ students, said that they had been the victims of unwanted sexual gestures, comments, advances, exposed genitals, groping, or being followed on public transport over the previous three years. Over half (51.7%) of men reported having been victimised. Only 5.7% of those who had been victimised reported this to anyone in authority. This is hardly surprising. The public safety messages from police, transport authorities, and tertiary educational institutions do not encourage reporting incidents, instead providing information that emphasises the responsibility of potential victims to protect themselves. A large proportion of female students report a climate of fear on public transport. A little less than half (45.1%) of female students report feeling 'rarely' or 'never' safe on public transport after dark, as compared to 11.3% of men. A similar proportion of women (58.9%) say they use a plethora of behaviours (from avoiding certain lines and stops, to ensuring they are met at a stop, to constant alertness) to mitigate their risk of victimisation. A little less than half (45.4%) of female students report fear of victimisation as a reason keeping them from using public transport. While concerns around infrequent, unreliable, poorly coordinated, and overcrowded services were seen as bigger concerns than safety by all users, women were less likely to use all modes and more likely to drive cars and use ridesharing services than men, at least partially because of night time concerns.","author":[{"dropping-particle":"","family":"Whitzman","given":"Carolyn","non-dropping-particle":"","parse-names":false,"suffix":""},{"dropping-particle":"","family":"Marathe","given":"Rewa","non-dropping-particle":"","parse-names":false,"suffix":""},{"dropping-particle":"","family":"Thompson","given":"Jason","non-dropping-particle":"","parse-names":false,"suffix":""}],"id":"ITEM-2","issue":"January","issued":{"date-parts":[["2019"]]},"number-of-pages":"1-39","title":"Tertiary students' public transport safety in Melbourne, Australia part of a 17-city international study","type":"report"},"uris":["http://www.mendeley.com/documents/?uuid=b04cb339-0f7f-38fd-b674-4db9f46fcc01"]}],"mendeley":{"formattedCitation":"(Plan International &amp; Monash University, 2018; Whitzman et al., 2019)","plainTextFormattedCitation":"(Plan International &amp; Monash University, 2018; Whitzman et al., 2019)","previouslyFormattedCitation":"(Plan International &amp; Monash University, 2018; Whitzman et al., 2019)"},"properties":{"noteIndex":0},"schema":"https://github.com/citation-style-language/schema/raw/master/csl-citation.json"}</w:instrText>
      </w:r>
      <w:r w:rsidR="006E6BC0">
        <w:fldChar w:fldCharType="separate"/>
      </w:r>
      <w:r w:rsidR="00F70032" w:rsidRPr="00F70032">
        <w:rPr>
          <w:noProof/>
        </w:rPr>
        <w:t>(Plan International &amp; Monash University, 2018; Whitzman et al., 2019)</w:t>
      </w:r>
      <w:r w:rsidR="006E6BC0">
        <w:fldChar w:fldCharType="end"/>
      </w:r>
      <w:r w:rsidR="00F70032">
        <w:t>.</w:t>
      </w:r>
      <w:r>
        <w:t xml:space="preserve"> Women use public transport more often and in differing ways to men, making them more vulnerable to abuse</w:t>
      </w:r>
      <w:r w:rsidR="00F70032">
        <w:t xml:space="preserve"> </w:t>
      </w:r>
      <w:r w:rsidR="00F70032">
        <w:fldChar w:fldCharType="begin" w:fldLock="1"/>
      </w:r>
      <w:r w:rsidR="00CA0D39">
        <w:instrText>ADDIN CSL_CITATION {"citationItems":[{"id":"ITEM-1","itemData":{"author":[{"dropping-particle":"","family":"Ceccato","given":"V","non-dropping-particle":"","parse-names":false,"suffix":""}],"container-title":"Crime Prevention and Community Safety","id":"ITEM-1","issue":"3-4","issued":{"date-parts":[["2017"]]},"page":"163-167","title":"Women’s victimisation and safety in transit environments","type":"article-journal","volume":"19"},"uris":["http://www.mendeley.com/documents/?uuid=2f84cb8c-2a54-3670-8f4b-3dd3e1518f56"]}],"mendeley":{"formattedCitation":"(Ceccato, 2017)","plainTextFormattedCitation":"(Ceccato, 2017)","previouslyFormattedCitation":"(Ceccato, 2017)"},"properties":{"noteIndex":0},"schema":"https://github.com/citation-style-language/schema/raw/master/csl-citation.json"}</w:instrText>
      </w:r>
      <w:r w:rsidR="00F70032">
        <w:fldChar w:fldCharType="separate"/>
      </w:r>
      <w:r w:rsidR="00F70032" w:rsidRPr="00F70032">
        <w:rPr>
          <w:noProof/>
        </w:rPr>
        <w:t>(Ceccato, 2017)</w:t>
      </w:r>
      <w:r w:rsidR="00F70032">
        <w:fldChar w:fldCharType="end"/>
      </w:r>
      <w:r>
        <w:t xml:space="preserve">. </w:t>
      </w:r>
      <w:r w:rsidR="00607BEB">
        <w:t xml:space="preserve">This is particularly heightened for women and girls with disabilities. </w:t>
      </w:r>
      <w:r>
        <w:t>In addition, women are at higher risk of SVH in organisations with hierarchical structures, dominated by men</w:t>
      </w:r>
      <w:r w:rsidR="0067723D">
        <w:t>,</w:t>
      </w:r>
      <w:r>
        <w:t xml:space="preserve"> and that potentially foster harmful masculinities </w:t>
      </w:r>
      <w:r w:rsidR="004B3913">
        <w:t>(</w:t>
      </w:r>
      <w:r>
        <w:t>e.g.</w:t>
      </w:r>
      <w:r w:rsidR="004B3913">
        <w:t>,</w:t>
      </w:r>
      <w:r>
        <w:t xml:space="preserve"> </w:t>
      </w:r>
      <w:r w:rsidR="00125D5C">
        <w:t>m</w:t>
      </w:r>
      <w:r>
        <w:t>ilitary, police force, legal and medical professions</w:t>
      </w:r>
      <w:r w:rsidR="0067723D">
        <w:t>;</w:t>
      </w:r>
      <w:r w:rsidR="00A96CD3">
        <w:fldChar w:fldCharType="begin" w:fldLock="1"/>
      </w:r>
      <w:r w:rsidR="00367D7A">
        <w:instrText>ADDIN CSL_CITATION {"citationItems":[{"id":"ITEM-1","itemData":{"author":[{"dropping-particle":"","family":"Australian Human Rights Commission","given":"","non-dropping-particle":"","parse-names":false,"suffix":""}],"id":"ITEM-1","issued":{"date-parts":[["2020"]]},"publisher":"Australian Human Rights Commission","publisher-place":"Sydney","title":"Respect@work: National inquiry into sexual harassment in Australian workplaces","type":"report"},"uris":["http://www.mendeley.com/documents/?uuid=1471c1d2-e9d4-3a0f-98d9-dd1a5f082efc"]}],"mendeley":{"formattedCitation":"(Australian Human Rights Commission, 2020a)","manualFormatting":" AHRC, 2020a)","plainTextFormattedCitation":"(Australian Human Rights Commission, 2020a)","previouslyFormattedCitation":"(Australian Human Rights Commission, 2020a)"},"properties":{"noteIndex":0},"schema":"https://github.com/citation-style-language/schema/raw/master/csl-citation.json"}</w:instrText>
      </w:r>
      <w:r w:rsidR="00A96CD3">
        <w:fldChar w:fldCharType="separate"/>
      </w:r>
      <w:r w:rsidR="0067723D">
        <w:rPr>
          <w:noProof/>
        </w:rPr>
        <w:t xml:space="preserve"> </w:t>
      </w:r>
      <w:r w:rsidR="00333EB2" w:rsidRPr="00333EB2">
        <w:rPr>
          <w:noProof/>
        </w:rPr>
        <w:t>A</w:t>
      </w:r>
      <w:r w:rsidR="0090409C">
        <w:rPr>
          <w:noProof/>
        </w:rPr>
        <w:t>HRC</w:t>
      </w:r>
      <w:r w:rsidR="00333EB2" w:rsidRPr="00333EB2">
        <w:rPr>
          <w:noProof/>
        </w:rPr>
        <w:t>, 2020a)</w:t>
      </w:r>
      <w:r w:rsidR="00A96CD3">
        <w:fldChar w:fldCharType="end"/>
      </w:r>
      <w:r>
        <w:t xml:space="preserve">. </w:t>
      </w:r>
    </w:p>
    <w:p w14:paraId="1DF8E16D" w14:textId="0579145D" w:rsidR="009804B4" w:rsidRDefault="1CE74E57" w:rsidP="00A83370">
      <w:pPr>
        <w:pStyle w:val="LTU-Body10pt"/>
      </w:pPr>
      <w:r>
        <w:t xml:space="preserve">When these harmful settings </w:t>
      </w:r>
      <w:r w:rsidR="4F9FA1E5">
        <w:t>(</w:t>
      </w:r>
      <w:r w:rsidR="353A09FB">
        <w:t>for women</w:t>
      </w:r>
      <w:r w:rsidR="291B481A">
        <w:t>)</w:t>
      </w:r>
      <w:r w:rsidR="353A09FB">
        <w:t xml:space="preserve"> </w:t>
      </w:r>
      <w:r w:rsidR="4FFF1AF2">
        <w:t xml:space="preserve">combine </w:t>
      </w:r>
      <w:r w:rsidR="573EDC8D">
        <w:t xml:space="preserve">alcohol at work, perpetration of sexual assault and rape </w:t>
      </w:r>
      <w:r w:rsidR="68501474">
        <w:t>is heightened</w:t>
      </w:r>
      <w:r w:rsidR="3C86FCEF">
        <w:t>.</w:t>
      </w:r>
      <w:r w:rsidR="573EDC8D">
        <w:t xml:space="preserve"> </w:t>
      </w:r>
    </w:p>
    <w:p w14:paraId="4C77BB7E" w14:textId="6A38192A" w:rsidR="009804B4" w:rsidRDefault="00A83370" w:rsidP="00A83370">
      <w:pPr>
        <w:pStyle w:val="LTU-Body10pt"/>
      </w:pPr>
      <w:r>
        <w:t xml:space="preserve">These settings and others make ideal locations for a range of different, tailored interventions to reduce and prevent SVH. </w:t>
      </w:r>
    </w:p>
    <w:p w14:paraId="743D9378" w14:textId="2B470CD3" w:rsidR="00A83370" w:rsidRPr="00A429E0" w:rsidRDefault="00A03075" w:rsidP="00A429E0">
      <w:pPr>
        <w:pStyle w:val="LTU-Subhead3"/>
      </w:pPr>
      <w:r w:rsidRPr="0019421E">
        <w:t>Ho</w:t>
      </w:r>
      <w:r w:rsidR="00A83370" w:rsidRPr="0019421E">
        <w:t>w to do it</w:t>
      </w:r>
      <w:r w:rsidR="00A73331" w:rsidRPr="0019421E">
        <w:t>?</w:t>
      </w:r>
      <w:r w:rsidR="00A83370" w:rsidRPr="0019421E">
        <w:t xml:space="preserve"> Activities/interventions</w:t>
      </w:r>
    </w:p>
    <w:p w14:paraId="3E759FBC" w14:textId="7FE5CF1D" w:rsidR="0099141F" w:rsidRDefault="00A83370" w:rsidP="006F1C63">
      <w:pPr>
        <w:pStyle w:val="LTU-Bullets10pt"/>
        <w:rPr>
          <w:rFonts w:cstheme="minorBidi"/>
        </w:rPr>
      </w:pPr>
      <w:r w:rsidRPr="001E6D18">
        <w:t xml:space="preserve">Compulsory workforce and leadership SVH </w:t>
      </w:r>
      <w:r w:rsidR="005E0077">
        <w:t xml:space="preserve">primary </w:t>
      </w:r>
      <w:r w:rsidRPr="001E6D18">
        <w:t>prevention training across organisations</w:t>
      </w:r>
      <w:r>
        <w:t xml:space="preserve"> </w:t>
      </w:r>
    </w:p>
    <w:p w14:paraId="51D470E1" w14:textId="3880422B" w:rsidR="0099141F" w:rsidRDefault="00A83370" w:rsidP="006F1C63">
      <w:pPr>
        <w:pStyle w:val="LTU-Bullets10pt"/>
        <w:rPr>
          <w:rFonts w:cstheme="minorBidi"/>
        </w:rPr>
      </w:pPr>
      <w:r w:rsidRPr="00745147">
        <w:t>Multiple settings</w:t>
      </w:r>
      <w:r w:rsidR="464B815F">
        <w:t>-</w:t>
      </w:r>
      <w:r w:rsidRPr="00745147">
        <w:t xml:space="preserve">based SVH </w:t>
      </w:r>
      <w:r w:rsidR="00D45A57">
        <w:t xml:space="preserve">primary </w:t>
      </w:r>
      <w:r w:rsidRPr="00745147">
        <w:t xml:space="preserve">prevention interventions/education </w:t>
      </w:r>
      <w:r w:rsidR="0059087A">
        <w:t>(</w:t>
      </w:r>
      <w:r w:rsidRPr="00745147">
        <w:t xml:space="preserve">public transport, </w:t>
      </w:r>
      <w:r w:rsidR="08735EC0">
        <w:t>public service,</w:t>
      </w:r>
      <w:r>
        <w:t xml:space="preserve"> </w:t>
      </w:r>
      <w:r w:rsidRPr="00745147">
        <w:t>sports organisations</w:t>
      </w:r>
      <w:r w:rsidR="002D6420">
        <w:t xml:space="preserve"> [e.g., </w:t>
      </w:r>
      <w:r w:rsidR="002D6420">
        <w:rPr>
          <w:i/>
          <w:iCs/>
        </w:rPr>
        <w:t>Coaching Boys to Men</w:t>
      </w:r>
      <w:r w:rsidR="002D6420">
        <w:rPr>
          <w:iCs/>
        </w:rPr>
        <w:t>]</w:t>
      </w:r>
      <w:r w:rsidRPr="00745147">
        <w:t>, health and aged care, military, home</w:t>
      </w:r>
      <w:r w:rsidR="00FC3ABC">
        <w:t>, institutions</w:t>
      </w:r>
      <w:r w:rsidR="0059087A">
        <w:t>)</w:t>
      </w:r>
    </w:p>
    <w:p w14:paraId="5A5688C8" w14:textId="77777777" w:rsidR="0099141F" w:rsidRDefault="00A83370" w:rsidP="006F1C63">
      <w:pPr>
        <w:pStyle w:val="LTU-Bullets10pt"/>
        <w:rPr>
          <w:rFonts w:cstheme="minorBidi"/>
        </w:rPr>
      </w:pPr>
      <w:r w:rsidRPr="008E55A4">
        <w:lastRenderedPageBreak/>
        <w:t>Relationship-based interventions</w:t>
      </w:r>
    </w:p>
    <w:p w14:paraId="410FC65F" w14:textId="463B40E5" w:rsidR="00A83370" w:rsidRPr="0099141F" w:rsidRDefault="00A83370" w:rsidP="006F1C63">
      <w:pPr>
        <w:pStyle w:val="LTU-Bullets10pt"/>
        <w:rPr>
          <w:rFonts w:cstheme="minorBidi"/>
        </w:rPr>
      </w:pPr>
      <w:r w:rsidRPr="10AE549A">
        <w:rPr>
          <w:rFonts w:cstheme="minorBidi"/>
        </w:rPr>
        <w:t xml:space="preserve">Technological and digital interventions </w:t>
      </w:r>
      <w:r w:rsidR="009F518C">
        <w:rPr>
          <w:rFonts w:cstheme="minorBidi"/>
        </w:rPr>
        <w:t>(</w:t>
      </w:r>
      <w:r w:rsidRPr="10AE549A">
        <w:rPr>
          <w:rFonts w:cstheme="minorBidi"/>
        </w:rPr>
        <w:t>e.g.</w:t>
      </w:r>
      <w:r w:rsidR="0067723D">
        <w:rPr>
          <w:rFonts w:cstheme="minorBidi"/>
        </w:rPr>
        <w:t>,</w:t>
      </w:r>
      <w:r w:rsidRPr="10AE549A">
        <w:rPr>
          <w:rFonts w:cstheme="minorBidi"/>
        </w:rPr>
        <w:t xml:space="preserve"> </w:t>
      </w:r>
      <w:r w:rsidR="00D7049D">
        <w:rPr>
          <w:rFonts w:cstheme="minorBidi"/>
        </w:rPr>
        <w:t>foster</w:t>
      </w:r>
      <w:r w:rsidRPr="10AE549A">
        <w:rPr>
          <w:rFonts w:cstheme="minorBidi"/>
        </w:rPr>
        <w:t>ing critical thinking on pornography; bystander interventions in relation to online abuse; education and raising awareness of technology-facilitated abuse</w:t>
      </w:r>
      <w:r w:rsidR="009F518C">
        <w:rPr>
          <w:rFonts w:cstheme="minorBidi"/>
        </w:rPr>
        <w:t>)</w:t>
      </w:r>
    </w:p>
    <w:p w14:paraId="1539F4FE" w14:textId="7E86B592" w:rsidR="00A83370" w:rsidRPr="0019421E" w:rsidRDefault="00A83370" w:rsidP="00A429E0">
      <w:pPr>
        <w:pStyle w:val="LTU-Subhead3"/>
      </w:pPr>
      <w:r w:rsidRPr="0019421E">
        <w:t>What will happen</w:t>
      </w:r>
      <w:r w:rsidR="00A73331" w:rsidRPr="0019421E">
        <w:t xml:space="preserve">? </w:t>
      </w:r>
      <w:r w:rsidR="0067723D" w:rsidRPr="0019421E">
        <w:t>Short-</w:t>
      </w:r>
      <w:r w:rsidRPr="0019421E">
        <w:t>term outcomes</w:t>
      </w:r>
    </w:p>
    <w:p w14:paraId="3347AAE8" w14:textId="77777777" w:rsidR="0099141F" w:rsidRDefault="00A83370" w:rsidP="006F1C63">
      <w:pPr>
        <w:pStyle w:val="LTU-Bullets10pt"/>
        <w:rPr>
          <w:rFonts w:cstheme="minorBidi"/>
        </w:rPr>
      </w:pPr>
      <w:r w:rsidRPr="001E6D18">
        <w:t>Increased staff/organisational SVH knowledge and awareness</w:t>
      </w:r>
      <w:r w:rsidR="00A209F8">
        <w:t>; supportive organisational structures</w:t>
      </w:r>
    </w:p>
    <w:p w14:paraId="152966D9" w14:textId="77777777" w:rsidR="0099141F" w:rsidRDefault="00A83370" w:rsidP="006F1C63">
      <w:pPr>
        <w:pStyle w:val="LTU-Bullets10pt"/>
        <w:rPr>
          <w:rFonts w:cstheme="minorBidi"/>
        </w:rPr>
      </w:pPr>
      <w:r w:rsidRPr="001E6D18">
        <w:t xml:space="preserve">Reduced incidence of </w:t>
      </w:r>
      <w:r w:rsidR="00A209F8" w:rsidRPr="001E6D18">
        <w:t>workplace/community</w:t>
      </w:r>
      <w:r w:rsidR="00A209F8">
        <w:t xml:space="preserve">/home </w:t>
      </w:r>
      <w:r>
        <w:t xml:space="preserve">SVH </w:t>
      </w:r>
    </w:p>
    <w:p w14:paraId="6BA707F4" w14:textId="20B6C097" w:rsidR="0099141F" w:rsidRDefault="00A83370" w:rsidP="006F1C63">
      <w:pPr>
        <w:pStyle w:val="LTU-Bullets10pt"/>
        <w:rPr>
          <w:rFonts w:cstheme="minorBidi"/>
        </w:rPr>
      </w:pPr>
      <w:r>
        <w:t xml:space="preserve">Reduced incidence of SVH </w:t>
      </w:r>
      <w:r w:rsidR="0067723D">
        <w:t>(</w:t>
      </w:r>
      <w:r>
        <w:t>e.g.</w:t>
      </w:r>
      <w:r w:rsidR="0067723D">
        <w:t>,</w:t>
      </w:r>
      <w:r>
        <w:t xml:space="preserve"> intimate partner sexual violence and </w:t>
      </w:r>
      <w:r w:rsidR="00A209F8">
        <w:t>intrafamilial</w:t>
      </w:r>
      <w:r>
        <w:t xml:space="preserve"> abuse</w:t>
      </w:r>
      <w:r w:rsidR="0067723D">
        <w:t>)</w:t>
      </w:r>
    </w:p>
    <w:p w14:paraId="25E59B88" w14:textId="5E2FD263" w:rsidR="00A83370" w:rsidRPr="0099141F" w:rsidRDefault="00A83370" w:rsidP="006F1C63">
      <w:pPr>
        <w:pStyle w:val="LTU-Bullets10pt"/>
        <w:rPr>
          <w:rFonts w:cstheme="minorBidi"/>
        </w:rPr>
      </w:pPr>
      <w:r>
        <w:t>Reduced incidence of technology-facilitated abuse</w:t>
      </w:r>
    </w:p>
    <w:p w14:paraId="748C8080" w14:textId="39BEA2F4" w:rsidR="00A83370" w:rsidRPr="0019421E" w:rsidRDefault="00A83370" w:rsidP="00A429E0">
      <w:pPr>
        <w:pStyle w:val="LTU-Subhead3"/>
      </w:pPr>
      <w:r w:rsidRPr="0019421E">
        <w:t xml:space="preserve">What </w:t>
      </w:r>
      <w:r w:rsidR="00680E14" w:rsidRPr="0019421E">
        <w:t>are you</w:t>
      </w:r>
      <w:r w:rsidRPr="0019421E">
        <w:t xml:space="preserve"> measuring</w:t>
      </w:r>
      <w:r w:rsidR="00A73331" w:rsidRPr="0019421E">
        <w:t xml:space="preserve">? </w:t>
      </w:r>
      <w:r w:rsidR="0067723D" w:rsidRPr="0019421E">
        <w:t>Long-</w:t>
      </w:r>
      <w:r w:rsidRPr="0019421E">
        <w:t>term outcomes</w:t>
      </w:r>
    </w:p>
    <w:p w14:paraId="5516EC5E" w14:textId="77777777" w:rsidR="0099141F" w:rsidRDefault="00A83370" w:rsidP="006F1C63">
      <w:pPr>
        <w:pStyle w:val="LTU-Bullets10pt"/>
        <w:rPr>
          <w:rFonts w:cstheme="minorBidi"/>
        </w:rPr>
      </w:pPr>
      <w:r>
        <w:t>Change in workplace</w:t>
      </w:r>
      <w:r w:rsidRPr="001E6D18">
        <w:t xml:space="preserve"> </w:t>
      </w:r>
      <w:r>
        <w:t xml:space="preserve">cultures </w:t>
      </w:r>
    </w:p>
    <w:p w14:paraId="294EFD5E" w14:textId="77777777" w:rsidR="0099141F" w:rsidRDefault="00A83370" w:rsidP="006F1C63">
      <w:pPr>
        <w:pStyle w:val="LTU-Bullets10pt"/>
        <w:rPr>
          <w:rFonts w:cstheme="minorBidi"/>
        </w:rPr>
      </w:pPr>
      <w:r w:rsidRPr="001E6D18">
        <w:t>Organisational behaviour change</w:t>
      </w:r>
    </w:p>
    <w:p w14:paraId="450BA705" w14:textId="5191CF95" w:rsidR="0099141F" w:rsidRDefault="00A83370" w:rsidP="006F1C63">
      <w:pPr>
        <w:pStyle w:val="LTU-Bullets10pt"/>
        <w:rPr>
          <w:rFonts w:cstheme="minorBidi"/>
        </w:rPr>
      </w:pPr>
      <w:r>
        <w:t xml:space="preserve">Homes and relationships are safe and </w:t>
      </w:r>
      <w:r w:rsidR="0067723D">
        <w:t xml:space="preserve">free of </w:t>
      </w:r>
      <w:r>
        <w:t xml:space="preserve">sexual violence </w:t>
      </w:r>
    </w:p>
    <w:p w14:paraId="44632750" w14:textId="239C7A46" w:rsidR="00A83370" w:rsidRPr="0099141F" w:rsidRDefault="00A83370" w:rsidP="006F1C63">
      <w:pPr>
        <w:pStyle w:val="LTU-Bullets10pt"/>
        <w:rPr>
          <w:rFonts w:cstheme="minorBidi"/>
        </w:rPr>
      </w:pPr>
      <w:r>
        <w:t>Healthy and respectful online interactions</w:t>
      </w:r>
    </w:p>
    <w:p w14:paraId="2AE7FB3C" w14:textId="77777777" w:rsidR="00A83370" w:rsidRPr="00680E14" w:rsidRDefault="00A83370" w:rsidP="00A429E0">
      <w:pPr>
        <w:pStyle w:val="LTU-Subhead2"/>
      </w:pPr>
      <w:r w:rsidRPr="00680E14">
        <w:t>What evidence is there?</w:t>
      </w:r>
    </w:p>
    <w:p w14:paraId="209DF81A" w14:textId="4117D75C" w:rsidR="00A83370" w:rsidRDefault="00A83370" w:rsidP="00A83370">
      <w:pPr>
        <w:spacing w:line="360" w:lineRule="auto"/>
        <w:rPr>
          <w:rFonts w:cs="Arial"/>
          <w:sz w:val="24"/>
          <w:szCs w:val="24"/>
        </w:rPr>
      </w:pPr>
      <w:r w:rsidRPr="10AE549A">
        <w:rPr>
          <w:rFonts w:cs="Arial"/>
          <w:sz w:val="24"/>
          <w:szCs w:val="24"/>
        </w:rPr>
        <w:t xml:space="preserve">In a community sports setting, programs like </w:t>
      </w:r>
      <w:r w:rsidRPr="10AE549A">
        <w:rPr>
          <w:rFonts w:cs="Arial"/>
          <w:i/>
          <w:sz w:val="24"/>
          <w:szCs w:val="24"/>
        </w:rPr>
        <w:t>Coaching Boys to Men</w:t>
      </w:r>
      <w:r w:rsidRPr="10AE549A">
        <w:rPr>
          <w:rFonts w:cs="Arial"/>
          <w:sz w:val="24"/>
          <w:szCs w:val="24"/>
        </w:rPr>
        <w:t xml:space="preserve"> </w:t>
      </w:r>
      <w:r w:rsidRPr="10AE549A">
        <w:rPr>
          <w:rFonts w:cs="Arial"/>
          <w:sz w:val="24"/>
          <w:szCs w:val="24"/>
        </w:rPr>
        <w:fldChar w:fldCharType="begin" w:fldLock="1"/>
      </w:r>
      <w:r w:rsidR="00C03231" w:rsidRPr="10AE549A">
        <w:rPr>
          <w:rFonts w:cs="Arial"/>
          <w:sz w:val="24"/>
          <w:szCs w:val="24"/>
        </w:rPr>
        <w:instrText>ADDIN CSL_CITATION {"citationItems":[{"id":"ITEM-1","itemData":{"DOI":"10.1016/j.jadohealth.2012.01.018","ISSN":"1054139X","PMID":"23084163","abstract":"Purpose: Dating violence (DV) - physical, sexual, and psychological aggression in adolescent romantic relationships - is prevalent among youth. Despite broad calls for primary prevention, few programs with demonstrated effectiveness exist. This cluster-randomized trial examined the effectiveness of a DV perpetration prevention program targeting coaches and high school male athletes. Methods: The unit of randomization was the high school (16 schools), and the unit of analysis was the athlete (N = 2,006 students). Primary outcomes were intentions to intervene, recognition of abusive behaviors, and gender-equitable attitudes. Secondary outcomes explored bystander behaviors and abuse perpetration. Regression models for clustered, longitudinal data assessed between-arm differences in over-time changes in mean levels of continuous outcomes in 1,798 athletes followed up at 3 months. Results: Intervention athletes' changes in intentions to intervene were positive compared with control subjects, resulting in an estimated intervention effect of.12 (95% CI:.003,.24). Intervention athletes also reported higher levels of positive bystander intervention behavior than control subjects (.25, 95% CI:.13,.38). Changes in gender-equitable attitudes, recognition of abusive behaviors, and DV perpetration were not significant. Secondary analyses estimated intervention impacts according to intensity of program implementation. Compared with control subjects, athletes exposed to full-intensity implementation of the intervention demonstrated improvements in intentions to intervene (.16, 95% CI:.04,.27), recognition of abusive behaviors (.13, 95% CI:.003,.25), and positive bystander intervention (.28, 95% CI:.14,.41). Conclusion: This cluster-randomized controlled trial supports the effectiveness of a school athletics-based prevention program as one promising strategy to reduce DV perpetration. © 2012 Society for Adolescent Health and Medicine.","author":[{"dropping-particle":"","family":"Miller","given":"Elizabeth","non-dropping-particle":"","parse-names":false,"suffix":""},{"dropping-particle":"","family":"Tancredi","given":"Daniel J","non-dropping-particle":"","parse-names":false,"suffix":""},{"dropping-particle":"","family":"McCauley","given":"Heather L","non-dropping-particle":"","parse-names":false,"suffix":""},{"dropping-particle":"","family":"Decker","given":"Michele R","non-dropping-particle":"","parse-names":false,"suffix":""},{"dropping-particle":"","family":"Virata","given":"Maria Catrina D","non-dropping-particle":"","parse-names":false,"suffix":""},{"dropping-particle":"","family":"Anderson","given":"Heather A","non-dropping-particle":"","parse-names":false,"suffix":""},{"dropping-particle":"","family":"Stetkevich","given":"Nicholas","non-dropping-particle":"","parse-names":false,"suffix":""},{"dropping-particle":"","family":"Brown","given":"Ernest W","non-dropping-particle":"","parse-names":false,"suffix":""},{"dropping-particle":"","family":"Moideen","given":"Feroz","non-dropping-particle":"","parse-names":false,"suffix":""},{"dropping-particle":"","family":"Silverman","given":"Jay G","non-dropping-particle":"","parse-names":false,"suffix":""}],"container-title":"Journal of Adolescent Health","id":"ITEM-1","issue":"5","issued":{"date-parts":[["2012"]]},"note":"Export Date: 10 June 2020","page":"431-438","title":"\"Coaching Boys into Men\": A cluster-randomized controlled trial of a dating violence prevention program","type":"article-journal","volume":"51"},"uris":["http://www.mendeley.com/documents/?uuid=8b349564-1477-3291-aae3-0edc20023073"]}],"mendeley":{"formattedCitation":"(E. Miller et al., 2012)","plainTextFormattedCitation":"(E. Miller et al., 2012)","previouslyFormattedCitation":"(E. Miller et al., 2012)"},"properties":{"noteIndex":0},"schema":"https://github.com/citation-style-language/schema/raw/master/csl-citation.json"}</w:instrText>
      </w:r>
      <w:r w:rsidRPr="10AE549A">
        <w:rPr>
          <w:rFonts w:cs="Arial"/>
          <w:sz w:val="24"/>
          <w:szCs w:val="24"/>
        </w:rPr>
        <w:fldChar w:fldCharType="separate"/>
      </w:r>
      <w:r w:rsidRPr="10AE549A">
        <w:rPr>
          <w:rFonts w:cs="Arial"/>
          <w:noProof/>
          <w:sz w:val="24"/>
          <w:szCs w:val="24"/>
        </w:rPr>
        <w:t>(E. Miller et al., 2012)</w:t>
      </w:r>
      <w:r w:rsidRPr="10AE549A">
        <w:rPr>
          <w:rFonts w:cs="Arial"/>
          <w:sz w:val="24"/>
          <w:szCs w:val="24"/>
        </w:rPr>
        <w:fldChar w:fldCharType="end"/>
      </w:r>
      <w:r w:rsidRPr="10AE549A">
        <w:rPr>
          <w:rFonts w:cs="Arial"/>
          <w:sz w:val="24"/>
          <w:szCs w:val="24"/>
        </w:rPr>
        <w:t xml:space="preserve"> engage men and influential mentors such as sports coaches to change social and peer norms-strong </w:t>
      </w:r>
      <w:r w:rsidR="0042134C">
        <w:rPr>
          <w:rFonts w:cs="Arial"/>
          <w:sz w:val="24"/>
          <w:szCs w:val="24"/>
        </w:rPr>
        <w:t>(</w:t>
      </w:r>
      <w:r w:rsidRPr="10AE549A">
        <w:rPr>
          <w:rFonts w:cs="Arial"/>
          <w:sz w:val="24"/>
          <w:szCs w:val="24"/>
        </w:rPr>
        <w:t xml:space="preserve">factors associated with Australian secondary school boys reports of unwanted sexual experiences </w:t>
      </w:r>
      <w:r w:rsidRPr="10AE549A">
        <w:rPr>
          <w:rFonts w:cs="Arial"/>
          <w:sz w:val="24"/>
          <w:szCs w:val="24"/>
        </w:rPr>
        <w:fldChar w:fldCharType="begin" w:fldLock="1"/>
      </w:r>
      <w:r w:rsidR="00582017">
        <w:rPr>
          <w:rFonts w:cs="Arial"/>
          <w:sz w:val="24"/>
          <w:szCs w:val="24"/>
        </w:rPr>
        <w:instrText>ADDIN CSL_CITATION {"citationItems":[{"id":"ITEM-1","itemData":{"author":[{"dropping-particle":"","family":"Hooker","given":"Leesa","non-dropping-particle":"","parse-names":false,"suffix":""},{"dropping-particle":"","family":"Ison","given":"Jessica","non-dropping-particle":"","parse-names":false,"suffix":""},{"dropping-particle":"","family":"O'Sullivan","given":"Grant","non-dropping-particle":"","parse-names":false,"suffix":""},{"dropping-particle":"","family":"Fisher","given":"Christopher","non-dropping-particle":"","parse-names":false,"suffix":""},{"dropping-particle":"","family":"Henry","given":"Nicola","non-dropping-particle":"","parse-names":false,"suffix":""},{"dropping-particle":"","family":"Forsdike","given":"Kirsty","non-dropping-particle":"","parse-names":false,"suffix":""},{"dropping-particle":"","family":"Young","given":"Felicity","non-dropping-particle":"","parse-names":false,"suffix":""},{"dropping-particle":"","family":"Taft","given":"Angela","non-dropping-particle":"","parse-names":false,"suffix":""}],"id":"ITEM-1","issued":{"date-parts":[["2020"]]},"publisher":"Australian Government Department of Social Services","publisher-place":"Melbourne","title":"Primary prevention of sexual violence and harassment against women and girls: Combining evidence and practice knowledge - Research report","type":"book"},"uris":["http://www.mendeley.com/documents/?uuid=ad3c882d-be80-460c-a4f7-9942f156a744"]}],"mendeley":{"formattedCitation":"(Hooker et al., 2020)","manualFormatting":"[Hooker et al., 2020])","plainTextFormattedCitation":"(Hooker et al., 2020)","previouslyFormattedCitation":"(Hooker et al., 2020)"},"properties":{"noteIndex":0},"schema":"https://github.com/citation-style-language/schema/raw/master/csl-citation.json"}</w:instrText>
      </w:r>
      <w:r w:rsidRPr="10AE549A">
        <w:rPr>
          <w:rFonts w:cs="Arial"/>
          <w:sz w:val="24"/>
          <w:szCs w:val="24"/>
        </w:rPr>
        <w:fldChar w:fldCharType="separate"/>
      </w:r>
      <w:r w:rsidR="00582017">
        <w:rPr>
          <w:rFonts w:cs="Arial"/>
          <w:noProof/>
          <w:sz w:val="24"/>
          <w:szCs w:val="24"/>
        </w:rPr>
        <w:t>[</w:t>
      </w:r>
      <w:r w:rsidRPr="10AE549A">
        <w:rPr>
          <w:rFonts w:cs="Arial"/>
          <w:noProof/>
          <w:sz w:val="24"/>
          <w:szCs w:val="24"/>
        </w:rPr>
        <w:t>Hooker et al., 2020</w:t>
      </w:r>
      <w:r w:rsidR="00582017">
        <w:rPr>
          <w:rFonts w:cs="Arial"/>
          <w:noProof/>
          <w:sz w:val="24"/>
          <w:szCs w:val="24"/>
        </w:rPr>
        <w:t>]</w:t>
      </w:r>
      <w:r w:rsidRPr="10AE549A">
        <w:rPr>
          <w:rFonts w:cs="Arial"/>
          <w:noProof/>
          <w:sz w:val="24"/>
          <w:szCs w:val="24"/>
        </w:rPr>
        <w:t>)</w:t>
      </w:r>
      <w:r w:rsidRPr="10AE549A">
        <w:rPr>
          <w:rFonts w:cs="Arial"/>
          <w:sz w:val="24"/>
          <w:szCs w:val="24"/>
        </w:rPr>
        <w:fldChar w:fldCharType="end"/>
      </w:r>
      <w:r w:rsidRPr="10AE549A">
        <w:rPr>
          <w:rFonts w:cs="Arial"/>
          <w:sz w:val="24"/>
          <w:szCs w:val="24"/>
        </w:rPr>
        <w:t xml:space="preserve">. </w:t>
      </w:r>
      <w:r w:rsidRPr="10AE549A">
        <w:rPr>
          <w:rFonts w:cs="Arial"/>
          <w:i/>
          <w:sz w:val="24"/>
          <w:szCs w:val="24"/>
        </w:rPr>
        <w:t>Coaching Boys to Men</w:t>
      </w:r>
      <w:r w:rsidRPr="10AE549A">
        <w:rPr>
          <w:rFonts w:cs="Arial"/>
          <w:sz w:val="24"/>
          <w:szCs w:val="24"/>
        </w:rPr>
        <w:t xml:space="preserve"> has been extensively evaluated in the USA and shows mixed results</w:t>
      </w:r>
      <w:r w:rsidR="00CA0D39" w:rsidRPr="10AE549A">
        <w:rPr>
          <w:rFonts w:cs="Arial"/>
          <w:sz w:val="24"/>
          <w:szCs w:val="24"/>
        </w:rPr>
        <w:t xml:space="preserve"> </w:t>
      </w:r>
      <w:r w:rsidR="006B4AF2" w:rsidRPr="10AE549A">
        <w:rPr>
          <w:rFonts w:cs="Arial"/>
          <w:sz w:val="24"/>
          <w:szCs w:val="24"/>
        </w:rPr>
        <w:fldChar w:fldCharType="begin" w:fldLock="1"/>
      </w:r>
      <w:r w:rsidR="00C03231" w:rsidRPr="10AE549A">
        <w:rPr>
          <w:rFonts w:cs="Arial"/>
          <w:sz w:val="24"/>
          <w:szCs w:val="24"/>
        </w:rPr>
        <w:instrText>ADDIN CSL_CITATION {"citationItems":[{"id":"ITEM-1","itemData":{"DOI":"10.1001/jamapediatrics.2019.5217","ISSN":"21686211","PMID":"31930358","abstract":"Importance: Adolescent relationship abuse (ARA) and sexual violence (SV) reported among adolescents point to the need for prevention among middle school-age youths. Objective: To test an athletic coach-delivered relationship abuse and sexual violence prevention program among middle school male athletes. Design, Setting, and Participants: An unblinded cluster randomized clinical trial from spring 2015 to fall 2017 at 41 middle schools (38 clusters). The study included 973 male middle school athletes (ages 11-14 years; grades 6-8; participation rate 50%) followed up for 1 year (retention 86%). Interventions: Coaching Boys Into Men (CBIM) is a prevention program that trains athletic coaches to talk to male athletes about (1) respectful relationship behaviors, (2) promoting more gender-equitable attitudes, and (3) positive bystander intervention when harmful behaviors among peers are witnessed. Main Outcomes and Measures: The primary outcome was change in positive bystander behaviors (ie, intervening in peers' disrespectful or harmful behaviors); secondary outcomes were changes in recognition of what constitutes abusive behavior, intentions to intervene, gender-equitable attitudes, and reduction in recent ARA/SV perpetration (at end of sports season and 1-year follow up). Results: Of the 973 participants, 530 were white (54.5%), 282 were black (29.0%), 14 were Hispanic (1.4%), and the remainder were multiracial, other race/ethnicity, or not reported. Positive bystander behaviors increased at end of sports season and at 1-year follow-up (relative risk, 1.51; 95% CI, 1.06-2.16 and 1.53; 95% CI, 1.10-2.12, respectively) as did recognition of abuse (mean risk difference, 0.14; 95% CI, 0.01-0.27 and 0.14; 95% CI, 0.00-0.28, respectively). At 1-year follow-up, among those who ever dated, athletes on teams receiving CBIM had lower odds of reporting recent ARA/SV perpetration (odds ratio, 0.24; 95% CI, 0.09-0.65). Gender attitudes and intentions to intervene did not differ between study arms. In exploratory intensity-adjusted and per protocol analyses, athletes on teams receiving CBIM were more likely to report positive bystander behaviors and to endorse equitable gender attitudes and less likely to report ARA and sexual harassment perpetration 1 year later. Conclusions and Relevance: An athletic coach-delivered program for middle school male athletes is an effective strategy for reducing relationship abuse among younger adolescents. Trial Registration: ClinicalTri…","author":[{"dropping-particle":"","family":"Miller","given":"Elizabeth","non-dropping-particle":"","parse-names":false,"suffix":""},{"dropping-particle":"","family":"Jones","given":"Kelley A.","non-dropping-particle":"","parse-names":false,"suffix":""},{"dropping-particle":"","family":"Ripper","given":"Lisa","non-dropping-particle":"","parse-names":false,"suffix":""},{"dropping-particle":"","family":"Paglisotti","given":"Taylor","non-dropping-particle":"","parse-names":false,"suffix":""},{"dropping-particle":"","family":"Mulbah","given":"Paul","non-dropping-particle":"","parse-names":false,"suffix":""},{"dropping-particle":"","family":"Abebe","given":"Kaleab Z.","non-dropping-particle":"","parse-names":false,"suffix":""}],"container-title":"JAMA Pediatrics","id":"ITEM-1","issue":"3","issued":{"date-parts":[["2020","3","1"]]},"page":"241-249","publisher":"American Medical Association","title":"An athletic coach-delivered middle school gender violence prevention program: A cluster randomized clinical trial","type":"article-journal","volume":"174"},"uris":["http://www.mendeley.com/documents/?uuid=90c9d2ff-4322-3ed6-aba9-524b9574e9b3"]},{"id":"ITEM-2","itemData":{"DOI":"10.1016/j.amepre.2013.03.007","ISSN":"0749-3797","abstract":"&lt;p&gt;Perpetration of physical, sexual, and psychological abuse is prevalent in adolescent relationships. One strategy for reducing such violence is to increase the likelihood that youth will intervene when they see peers engaging in disrespectful and abusive behaviors.&lt;/p&gt; &lt;p&gt;This 12-month follow-up of a cluster RCT examined the longer-term effectiveness of Coaching Boys Into Men, a dating violence prevention program targeting high school male athletes.&lt;/p&gt; &lt;p&gt;This cluster RCT was conducted from 2009 to 2011. The unit of randomization was the school, and the unit of analysis was the athlete. Data were analyzed in 2012.&lt;/p&gt; &lt;p&gt;Participants were male athletes in Grades 911 (N=1513) participating in athletics in 16 high schools.&lt;/p&gt; &lt;p&gt;The intervention consisted of training athletic coaches to integrate violence prevention messages into coaching activities through brief, weekly, scripted discussions with athletes.&lt;/p&gt; &lt;p&gt;Primary...","author":[{"dropping-particle":"","family":"Miller","given":"Elizabeth","non-dropping-particle":"","parse-names":false,"suffix":""},{"dropping-particle":"","family":"Tancredi","given":"Daniel J","non-dropping-particle":"","parse-names":false,"suffix":""},{"dropping-particle":"","family":"McCauley","given":"Heather L","non-dropping-particle":"","parse-names":false,"suffix":""},{"dropping-particle":"","family":"Decker","given":"Michele R","non-dropping-particle":"","parse-names":false,"suffix":""},{"dropping-particle":"","family":"Virata","given":"Maria Catrina D","non-dropping-particle":"","parse-names":false,"suffix":""},{"dropping-particle":"","family":"Anderson","given":"Heather A","non-dropping-particle":"","parse-names":false,"suffix":""},{"dropping-particle":"","family":"O'Connor","given":"Brian","non-dropping-particle":"","parse-names":false,"suffix":""},{"dropping-particle":"","family":"Silverman","given":"Jay G","non-dropping-particle":"","parse-names":false,"suffix":""}],"container-title":"American Journal of Preventive Medicine","id":"ITEM-2","issue":"1","issued":{"date-parts":[["2013"]]},"page":"108-112","title":"One-year follow-up of a coach-delivered dating violence prevention program","type":"article-journal","volume":"45"},"uris":["http://www.mendeley.com/documents/?uuid=c8784f0d-4aae-317e-89d9-ff83087d3ba3"]},{"id":"ITEM-3","itemData":{"DOI":"10.1007/978-3-319-44504-5_13","abstract":"This chapter discusses a specific and promising school and community-based prevention intervention-the Coaching Boys into Men (CBIM) program. CBIM trains athletic coaches to talk with their adolescent male athletes about respect, nonviolence, healthy relationships, and positive bystander behaviors with the goal of reducing sexual and dating violence. Findings from rigorous evaluation studies of this program highlight the importance of addressing social norms change and gender equity in sexual violence prevention efforts. © 2016 Springer International Publishing AG.","author":[{"dropping-particle":"","family":"Miller","given":"Elizabeth","non-dropping-particle":"","parse-names":false,"suffix":""},{"dropping-particle":"","family":"Jaime","given":"Maria Catrina D","non-dropping-particle":"","parse-names":false,"suffix":""},{"dropping-particle":"","family":"McCauley","given":"Heather M","non-dropping-particle":"","parse-names":false,"suffix":""}],"container-title":"Sexual Violence: Evidence Based Policy and Prevention","editor":[{"dropping-particle":"","family":"Jeglic","given":"Elizabeth","non-dropping-particle":"","parse-names":false,"suffix":""},{"dropping-particle":"","family":"Calkins","given":"Cynthia","non-dropping-particle":"","parse-names":false,"suffix":""}],"id":"ITEM-3","issued":{"date-parts":[["2016"]]},"note":"Export Date: 10 June 2020","page":"227-248","publisher":"Springer International Publishing","publisher-place":"New York","title":"“Coaching boys into men”: A social norms change approach to sexual violence prevention","type":"chapter"},"uris":["http://www.mendeley.com/documents/?uuid=94fde94c-6143-33a6-9cc2-0f6f21de6d64"]},{"id":"ITEM-4","itemData":{"DOI":"10.1093/her/cyw045","ISSN":"0268-1153","abstract":"Coaching Boys into Men is an evidence-based dating violence prevention program for coaches to implement with male athletes. A common adaptation of this program is delivery by domestic violence and sexual violence prevention advocates instead of coaches. We explored how this implementer adaptation may influence athlete uptake of program messages and outcomes. Randomly, one school received the program delivered by an advocate while another school received the program delivered by coaches. Athletes completed baseline and follow-up surveys ( n = 148), and a subset who received the advocate-led program participated in focus groups (four groups\rn = 26). We compared changes in athlete attitudes and behaviors and conducted thematic analyses with qualitative data. We found no significant differences between athletes who received the program from the advocate versus their coaches. Athletes highlighted the advocates delivery and role as a non-judgmental adult ally as qualities that influenced their uptake of program messages. The acceptability of the advocate-led program may be related to the implementer type along with specific implementer characteristics and delivery methods. Using advocates together with coaches as implementers could increase the reach of this program. Further study of best practices for Coaching Boys into Men adaptation is needed to guide program dissemination and sustainability.","author":[{"dropping-particle":"","family":"Jaime","given":"M C D","non-dropping-particle":"","parse-names":false,"suffix":""},{"dropping-particle":"","family":"Stocking","given":"M","non-dropping-particle":"","parse-names":false,"suffix":""},{"dropping-particle":"","family":"Freire","given":"Kimberley","non-dropping-particle":"","parse-names":false,"suffix":""},{"dropping-particle":"","family":"Perkinson","given":"L","non-dropping-particle":"","parse-names":false,"suffix":""},{"dropping-particle":"","family":"Ciaravino","given":"S","non-dropping-particle":"","parse-names":false,"suffix":""},{"dropping-particle":"","family":"Miller","given":"E","non-dropping-particle":"","parse-names":false,"suffix":""}],"container-title":"Health Education Research","id":"ITEM-4","issue":"6","issued":{"date-parts":[["2016"]]},"page":"679-696","title":"Using a domestic and sexual violence prevention advocate to implement a dating violence prevention program with athletes","type":"article-journal","volume":"31"},"uris":["http://www.mendeley.com/documents/?uuid=292c14ae-ed60-3b3b-bc15-facaf4821199"]}],"mendeley":{"formattedCitation":"(Jaime et al., 2016; E. Miller et al., 2013, 2016, 2020)","plainTextFormattedCitation":"(Jaime et al., 2016; E. Miller et al., 2013, 2016, 2020)","previouslyFormattedCitation":"(Jaime et al., 2016; E. Miller et al., 2013, 2016, 2020)"},"properties":{"noteIndex":0},"schema":"https://github.com/citation-style-language/schema/raw/master/csl-citation.json"}</w:instrText>
      </w:r>
      <w:r w:rsidR="006B4AF2" w:rsidRPr="10AE549A">
        <w:rPr>
          <w:rFonts w:cs="Arial"/>
          <w:sz w:val="24"/>
          <w:szCs w:val="24"/>
        </w:rPr>
        <w:fldChar w:fldCharType="separate"/>
      </w:r>
      <w:r w:rsidR="00165F5C" w:rsidRPr="10AE549A">
        <w:rPr>
          <w:rFonts w:cs="Arial"/>
          <w:noProof/>
          <w:sz w:val="24"/>
          <w:szCs w:val="24"/>
        </w:rPr>
        <w:t>(Jaime et al., 2016; E. Miller et al., 2013, 2016, 2020)</w:t>
      </w:r>
      <w:r w:rsidR="006B4AF2" w:rsidRPr="10AE549A">
        <w:rPr>
          <w:rFonts w:cs="Arial"/>
          <w:sz w:val="24"/>
          <w:szCs w:val="24"/>
        </w:rPr>
        <w:fldChar w:fldCharType="end"/>
      </w:r>
      <w:r w:rsidRPr="10AE549A">
        <w:rPr>
          <w:rFonts w:cs="Arial"/>
          <w:sz w:val="24"/>
          <w:szCs w:val="24"/>
        </w:rPr>
        <w:t>.</w:t>
      </w:r>
    </w:p>
    <w:p w14:paraId="2E0EDB11" w14:textId="0D7F1F2B" w:rsidR="00A83370" w:rsidRPr="0019421E" w:rsidRDefault="00A83370" w:rsidP="0019421E">
      <w:pPr>
        <w:autoSpaceDE w:val="0"/>
        <w:autoSpaceDN w:val="0"/>
        <w:adjustRightInd w:val="0"/>
        <w:spacing w:after="0" w:line="360" w:lineRule="auto"/>
        <w:rPr>
          <w:rFonts w:cs="Roboto-Regular"/>
          <w:sz w:val="24"/>
          <w:szCs w:val="24"/>
          <w:lang w:eastAsia="ja-JP"/>
        </w:rPr>
      </w:pPr>
      <w:r w:rsidRPr="028605AC">
        <w:rPr>
          <w:rFonts w:cs="Arial"/>
          <w:sz w:val="24"/>
          <w:szCs w:val="24"/>
        </w:rPr>
        <w:t xml:space="preserve">The USA Department of </w:t>
      </w:r>
      <w:r w:rsidR="0067723D" w:rsidRPr="028605AC">
        <w:rPr>
          <w:rFonts w:cs="Arial"/>
          <w:sz w:val="24"/>
          <w:szCs w:val="24"/>
        </w:rPr>
        <w:t>Defen</w:t>
      </w:r>
      <w:r w:rsidR="0067723D">
        <w:rPr>
          <w:rFonts w:cs="Arial"/>
          <w:sz w:val="24"/>
          <w:szCs w:val="24"/>
        </w:rPr>
        <w:t>s</w:t>
      </w:r>
      <w:r w:rsidR="0067723D" w:rsidRPr="028605AC">
        <w:rPr>
          <w:rFonts w:cs="Arial"/>
          <w:sz w:val="24"/>
          <w:szCs w:val="24"/>
        </w:rPr>
        <w:t>e</w:t>
      </w:r>
      <w:r w:rsidR="0067723D">
        <w:rPr>
          <w:rFonts w:cs="Arial"/>
          <w:sz w:val="24"/>
          <w:szCs w:val="24"/>
        </w:rPr>
        <w:t xml:space="preserve"> </w:t>
      </w:r>
      <w:r w:rsidR="00BF3D39">
        <w:rPr>
          <w:rFonts w:cs="Arial"/>
          <w:sz w:val="24"/>
          <w:szCs w:val="24"/>
        </w:rPr>
        <w:fldChar w:fldCharType="begin" w:fldLock="1"/>
      </w:r>
      <w:r w:rsidR="00367D7A">
        <w:rPr>
          <w:rFonts w:cs="Arial"/>
          <w:sz w:val="24"/>
          <w:szCs w:val="24"/>
        </w:rPr>
        <w:instrText>ADDIN CSL_CITATION {"citationItems":[{"id":"ITEM-1","itemData":{"author":[{"dropping-particle":"","family":"US Department of Defense","given":"","non-dropping-particle":"","parse-names":false,"suffix":""}],"id":"ITEM-1","issued":{"date-parts":[["2014"]]},"publisher":"Department of Defense","publisher-place":"Washington","title":"Report to the president of the United States on sexual assault prevention and response","type":"report"},"suppress-author":1,"uris":["http://www.mendeley.com/documents/?uuid=9259fda9-02c2-3b02-b233-65c5656b82c3"]}],"mendeley":{"formattedCitation":"(2014)","plainTextFormattedCitation":"(2014)","previouslyFormattedCitation":"(2014)"},"properties":{"noteIndex":0},"schema":"https://github.com/citation-style-language/schema/raw/master/csl-citation.json"}</w:instrText>
      </w:r>
      <w:r w:rsidR="00BF3D39">
        <w:rPr>
          <w:rFonts w:cs="Arial"/>
          <w:sz w:val="24"/>
          <w:szCs w:val="24"/>
        </w:rPr>
        <w:fldChar w:fldCharType="separate"/>
      </w:r>
      <w:r w:rsidR="00BF3D39" w:rsidRPr="00BF3D39">
        <w:rPr>
          <w:rFonts w:cs="Arial"/>
          <w:noProof/>
          <w:sz w:val="24"/>
          <w:szCs w:val="24"/>
        </w:rPr>
        <w:t>(2014)</w:t>
      </w:r>
      <w:r w:rsidR="00BF3D39">
        <w:rPr>
          <w:rFonts w:cs="Arial"/>
          <w:sz w:val="24"/>
          <w:szCs w:val="24"/>
        </w:rPr>
        <w:fldChar w:fldCharType="end"/>
      </w:r>
      <w:r w:rsidRPr="028605AC">
        <w:rPr>
          <w:rFonts w:cs="Arial"/>
          <w:sz w:val="24"/>
          <w:szCs w:val="24"/>
        </w:rPr>
        <w:t xml:space="preserve"> ha</w:t>
      </w:r>
      <w:r w:rsidR="627BDBF4" w:rsidRPr="028605AC">
        <w:rPr>
          <w:rFonts w:cs="Arial"/>
          <w:sz w:val="24"/>
          <w:szCs w:val="24"/>
        </w:rPr>
        <w:t>s</w:t>
      </w:r>
      <w:r w:rsidRPr="028605AC">
        <w:rPr>
          <w:rFonts w:cs="Arial"/>
          <w:sz w:val="24"/>
          <w:szCs w:val="24"/>
        </w:rPr>
        <w:t xml:space="preserve"> effectively reduced unwanted sexual contact</w:t>
      </w:r>
      <w:r w:rsidR="0067723D">
        <w:rPr>
          <w:rFonts w:cs="Arial"/>
          <w:sz w:val="24"/>
          <w:szCs w:val="24"/>
        </w:rPr>
        <w:t>—</w:t>
      </w:r>
      <w:r w:rsidRPr="028605AC">
        <w:rPr>
          <w:rFonts w:cs="Arial"/>
          <w:sz w:val="24"/>
          <w:szCs w:val="24"/>
        </w:rPr>
        <w:t>sustained over two years, with the implementation of a complex, whole</w:t>
      </w:r>
      <w:r w:rsidR="00EE737C">
        <w:rPr>
          <w:rFonts w:cs="Arial"/>
          <w:sz w:val="24"/>
          <w:szCs w:val="24"/>
        </w:rPr>
        <w:t>-</w:t>
      </w:r>
      <w:r w:rsidRPr="028605AC">
        <w:rPr>
          <w:rFonts w:cs="Arial"/>
          <w:sz w:val="24"/>
          <w:szCs w:val="24"/>
        </w:rPr>
        <w:t>of</w:t>
      </w:r>
      <w:r w:rsidR="00EE737C">
        <w:rPr>
          <w:rFonts w:cs="Arial"/>
          <w:sz w:val="24"/>
          <w:szCs w:val="24"/>
        </w:rPr>
        <w:t>-</w:t>
      </w:r>
      <w:r w:rsidRPr="028605AC">
        <w:rPr>
          <w:sz w:val="24"/>
          <w:szCs w:val="24"/>
        </w:rPr>
        <w:t>organisation intervention</w:t>
      </w:r>
      <w:r w:rsidR="00F807ED">
        <w:rPr>
          <w:sz w:val="24"/>
          <w:szCs w:val="24"/>
        </w:rPr>
        <w:t xml:space="preserve"> </w:t>
      </w:r>
      <w:r w:rsidRPr="028605AC">
        <w:rPr>
          <w:sz w:val="24"/>
          <w:szCs w:val="24"/>
        </w:rPr>
        <w:t xml:space="preserve">at primary, secondary and tertiary levels of prevention. The intervention included a </w:t>
      </w:r>
      <w:r w:rsidRPr="028605AC">
        <w:rPr>
          <w:rFonts w:cs="Roboto-Regular"/>
          <w:sz w:val="24"/>
          <w:szCs w:val="24"/>
          <w:lang w:eastAsia="ja-JP"/>
        </w:rPr>
        <w:t>comprehensive prevention and response system to empower victim</w:t>
      </w:r>
      <w:r w:rsidR="0067723D">
        <w:rPr>
          <w:rFonts w:cs="Roboto-Regular"/>
          <w:sz w:val="24"/>
          <w:szCs w:val="24"/>
          <w:lang w:eastAsia="ja-JP"/>
        </w:rPr>
        <w:t>–</w:t>
      </w:r>
      <w:r w:rsidR="004E6103">
        <w:rPr>
          <w:rFonts w:cs="Roboto-Regular"/>
          <w:sz w:val="24"/>
          <w:szCs w:val="24"/>
          <w:lang w:eastAsia="ja-JP"/>
        </w:rPr>
        <w:t>survivor</w:t>
      </w:r>
      <w:r w:rsidRPr="028605AC">
        <w:rPr>
          <w:rFonts w:cs="Roboto-Regular"/>
          <w:sz w:val="24"/>
          <w:szCs w:val="24"/>
          <w:lang w:eastAsia="ja-JP"/>
        </w:rPr>
        <w:t xml:space="preserve">s </w:t>
      </w:r>
      <w:r w:rsidRPr="028605AC">
        <w:rPr>
          <w:rFonts w:cs="Roboto-Regular"/>
          <w:sz w:val="24"/>
          <w:szCs w:val="24"/>
          <w:lang w:eastAsia="ja-JP"/>
        </w:rPr>
        <w:lastRenderedPageBreak/>
        <w:t>and support recovery</w:t>
      </w:r>
      <w:r w:rsidR="0067723D">
        <w:rPr>
          <w:rFonts w:cs="Roboto-Regular"/>
          <w:sz w:val="24"/>
          <w:szCs w:val="24"/>
          <w:lang w:eastAsia="ja-JP"/>
        </w:rPr>
        <w:t>—</w:t>
      </w:r>
      <w:r w:rsidRPr="028605AC">
        <w:rPr>
          <w:rFonts w:cs="Roboto-Regular"/>
          <w:sz w:val="24"/>
          <w:szCs w:val="24"/>
          <w:lang w:eastAsia="ja-JP"/>
        </w:rPr>
        <w:t xml:space="preserve">including a </w:t>
      </w:r>
      <w:r w:rsidRPr="028605AC">
        <w:rPr>
          <w:sz w:val="24"/>
          <w:szCs w:val="24"/>
        </w:rPr>
        <w:t xml:space="preserve">sexual assault awareness month, a prevention innovation award and an active bystander intervention. </w:t>
      </w:r>
    </w:p>
    <w:p w14:paraId="0AF6ED73" w14:textId="7CBF25AE" w:rsidR="00A83370" w:rsidRDefault="00A83370" w:rsidP="0019421E">
      <w:pPr>
        <w:pStyle w:val="LTU-Bullets10pt"/>
        <w:numPr>
          <w:ilvl w:val="0"/>
          <w:numId w:val="0"/>
        </w:numPr>
        <w:spacing w:before="0" w:after="200"/>
        <w:contextualSpacing/>
      </w:pPr>
      <w:r>
        <w:t xml:space="preserve">Interventions for </w:t>
      </w:r>
      <w:r w:rsidR="0067723D">
        <w:t>street-</w:t>
      </w:r>
      <w:r>
        <w:t xml:space="preserve">based SVH are limited, </w:t>
      </w:r>
      <w:r w:rsidR="6B8B0EB4">
        <w:t xml:space="preserve">including </w:t>
      </w:r>
      <w:r w:rsidR="2D538CA9">
        <w:t>those</w:t>
      </w:r>
      <w:r w:rsidR="74ED9932">
        <w:t xml:space="preserve"> to prevent SVH on </w:t>
      </w:r>
      <w:r>
        <w:t>public transport</w:t>
      </w:r>
      <w:r w:rsidR="0067723D">
        <w:t>;</w:t>
      </w:r>
      <w:r>
        <w:t xml:space="preserve"> </w:t>
      </w:r>
      <w:r w:rsidR="1361F2C1">
        <w:t>however</w:t>
      </w:r>
      <w:r w:rsidR="0067723D">
        <w:t>,</w:t>
      </w:r>
      <w:r w:rsidR="1361F2C1">
        <w:t xml:space="preserve"> </w:t>
      </w:r>
      <w:r w:rsidR="59CE7876">
        <w:t>some research in this are</w:t>
      </w:r>
      <w:r w:rsidR="7F31F2B8">
        <w:t>a</w:t>
      </w:r>
      <w:r w:rsidR="59CE7876">
        <w:t xml:space="preserve"> is emerging. Primary and secondary prevention interventions like </w:t>
      </w:r>
      <w:r>
        <w:t>local government structural changes</w:t>
      </w:r>
      <w:r w:rsidR="789F5F7D">
        <w:t>,</w:t>
      </w:r>
      <w:r>
        <w:t xml:space="preserve"> a trained </w:t>
      </w:r>
      <w:r w:rsidR="37C5488A">
        <w:t xml:space="preserve">and bystander ready </w:t>
      </w:r>
      <w:r>
        <w:t>public transport workforce</w:t>
      </w:r>
      <w:r w:rsidR="727B3ED5">
        <w:t xml:space="preserve">, surveillance at </w:t>
      </w:r>
      <w:r w:rsidR="2BE49F86">
        <w:t xml:space="preserve">known </w:t>
      </w:r>
      <w:r w:rsidR="727B3ED5">
        <w:t xml:space="preserve">SVH hot spots </w:t>
      </w:r>
      <w:r>
        <w:t>and improved reporting avenues</w:t>
      </w:r>
      <w:r w:rsidR="2C14E451">
        <w:t xml:space="preserve"> and responses</w:t>
      </w:r>
      <w:r>
        <w:t>, may prove promising</w:t>
      </w:r>
      <w:r w:rsidR="00E05911">
        <w:t xml:space="preserve"> </w:t>
      </w:r>
      <w:r w:rsidR="00E05911">
        <w:fldChar w:fldCharType="begin" w:fldLock="1"/>
      </w:r>
      <w:r w:rsidR="00D63205">
        <w:instrText>ADDIN CSL_CITATION {"citationItems":[{"id":"ITEM-1","itemData":{"author":[{"dropping-particle":"","family":"Taft","given":"Angela","non-dropping-particle":"","parse-names":false,"suffix":""},{"dropping-particle":"","family":"Kalms","given":"Nicole","non-dropping-particle":"","parse-names":false,"suffix":""},{"dropping-particle":"","family":"Hooker","given":"Leesa","non-dropping-particle":"","parse-names":false,"suffix":""},{"dropping-particle":"","family":"Forsdike","given":"Kirsty","non-dropping-particle":"","parse-names":false,"suffix":""},{"dropping-particle":"","family":"Henry","given":"Nicola","non-dropping-particle":"","parse-names":false,"suffix":""},{"dropping-particle":"","family":"Matthewson","given":"Gill","non-dropping-particle":"","parse-names":false,"suffix":""},{"dropping-particle":"","family":"Ison","given":"Jessica","non-dropping-particle":"","parse-names":false,"suffix":""},{"dropping-particle":"","family":"Bawden","given":"Gene","non-dropping-particle":"","parse-names":false,"suffix":""},{"dropping-particle":"","family":"Webb","given":"Isabella","non-dropping-particle":"","parse-names":false,"suffix":""},{"dropping-particle":"","family":"Korsmeyer","given":"Hannah","non-dropping-particle":"","parse-names":false,"suffix":""}],"id":"ITEM-1","issued":{"date-parts":[["2020"]]},"publisher-place":"Melbourne","title":"Improving the safety of women and girls on public transport (TramLab)","type":"report"},"uris":["http://www.mendeley.com/documents/?uuid=86253d48-83d2-48d9-82c6-6db2d87436c3"]}],"mendeley":{"formattedCitation":"(Taft et al., 2020)","plainTextFormattedCitation":"(Taft et al., 2020)","previouslyFormattedCitation":"(Taft et al., 2020)"},"properties":{"noteIndex":0},"schema":"https://github.com/citation-style-language/schema/raw/master/csl-citation.json"}</w:instrText>
      </w:r>
      <w:r w:rsidR="00E05911">
        <w:fldChar w:fldCharType="separate"/>
      </w:r>
      <w:r w:rsidR="00E05911" w:rsidRPr="00E05911">
        <w:rPr>
          <w:noProof/>
        </w:rPr>
        <w:t>(Taft et al., 2020)</w:t>
      </w:r>
      <w:r w:rsidR="00E05911">
        <w:fldChar w:fldCharType="end"/>
      </w:r>
      <w:r>
        <w:t>.</w:t>
      </w:r>
    </w:p>
    <w:p w14:paraId="1A3956B0" w14:textId="37A730F9" w:rsidR="00DB57AC" w:rsidRPr="0019421E" w:rsidRDefault="00DB57AC" w:rsidP="0019421E">
      <w:pPr>
        <w:pStyle w:val="LTU-Body10pt"/>
        <w:rPr>
          <w:rFonts w:cs="Roboto-Regular"/>
          <w:lang w:eastAsia="ja-JP"/>
        </w:rPr>
      </w:pPr>
      <w:r w:rsidRPr="47C33D50">
        <w:rPr>
          <w:lang w:eastAsia="en-AU" w:bidi="en-US"/>
        </w:rPr>
        <w:t xml:space="preserve">Interventions to prevent SVH that occurs in the home, such as intimate partner sexual violence and </w:t>
      </w:r>
      <w:r w:rsidRPr="00E226C2">
        <w:rPr>
          <w:lang w:eastAsia="en-AU" w:bidi="en-US"/>
        </w:rPr>
        <w:t>intrafamilial sexual violence, are lackin</w:t>
      </w:r>
      <w:r>
        <w:rPr>
          <w:lang w:eastAsia="en-AU" w:bidi="en-US"/>
        </w:rPr>
        <w:t xml:space="preserve">g </w:t>
      </w:r>
      <w:r>
        <w:rPr>
          <w:lang w:eastAsia="en-AU" w:bidi="en-US"/>
        </w:rPr>
        <w:fldChar w:fldCharType="begin" w:fldLock="1"/>
      </w:r>
      <w:r w:rsidR="00C757A3">
        <w:rPr>
          <w:lang w:eastAsia="en-AU" w:bidi="en-US"/>
        </w:rPr>
        <w:instrText>ADDIN CSL_CITATION {"citationItems":[{"id":"ITEM-1","itemData":{"DOI":"10.1080/09540261.2016.1210103","ISSN":"13691627","PMID":"27686012","abstract":"Experiences of domestic and sexual violence are common in patients attending primary care. Most often they are not identified due to barriers to asking by health practitioners and disclosure by patients. Women are more likely than men to experience such violence and present with mental and physical health symptoms to health practitioners. If identified through screening or case finding as experiencing violence they need to be supported to recover from these traumas. This paper draws on systematic reviews published in 2013–2015 and a further literature search undertaken to identify recent intervention studies relevant to recovery from domestic and sexual violence in primary care. There is limited evidence as to what interventions in primary care assist with recovery from domestic violence; however, they can be categorized into the following areas: first line response and referral, psychological treatments, safety planning and advocacy, including through home visitation and peer support programmes, and parenting and mother–child interventions. Sexual violence interventions usually include trauma informed care and models to support recovery. The most promising results have been from nurse home visiting advocacy programmes, mother–child psychotherapeutic interventions, and specific psychological treatments (Cognitive Behaviour Therapy, Trauma informed Cognitive Behaviour Therapy and, for sexual assault, Exposure and Eye Movement Desensitization and Reprocessing Interventions). Holistic healing models have not been formally tested by randomized controlled trials, but show some promise. Further research into what supports women and their children on their trajectory of recovery from domestic and sexual violence is urgently needed.","author":[{"dropping-particle":"","family":"Hegarty","given":"Kelsey","non-dropping-particle":"","parse-names":false,"suffix":""},{"dropping-particle":"","family":"Tarzia","given":"Laura","non-dropping-particle":"","parse-names":false,"suffix":""},{"dropping-particle":"","family":"Hooker","given":"Leesa","non-dropping-particle":"","parse-names":false,"suffix":""},{"dropping-particle":"","family":"Taft","given":"Angela","non-dropping-particle":"","parse-names":false,"suffix":""}],"container-title":"International Review of Psychiatry","id":"ITEM-1","issue":"5","issued":{"date-parts":[["2016","9","2"]]},"page":"519-532","publisher":"Taylor and Francis Ltd","title":"Interventions to support recovery after domestic and sexual violence in primary care","type":"article-journal","volume":"28"},"uris":["http://www.mendeley.com/documents/?uuid=68a77eca-b614-3fa6-b4fb-1325a8218d68"]},{"id":"ITEM-2","itemData":{"DOI":"10.1016/j.chiabu.2020.104422","ISSN":"18737757","PMID":"32122641","abstract":"Background: Child sexual abuse is a problem of significant proportion in Australia and globally. Prevention efforts have tended to occur on an ad hoc basis and to be poorly evaluated. A measured, evidence-based public health approach to preventing child sexual abuse is necessary to enhance the prevention agenda. Objective: The objective of this paper was to engage with the work of Letourneau and colleagues about a public health approach to child sexual abuse prevention from an Australian perspective. Methods: In this commentary paper, following on from Letourneau and colleagues, policy resistance to addressing the problem of child sexual abuse and its prevention in the Australian context is explored. Promising pockets of research, policy and practice are described that indicate greater readiness and a lessening policy resistance to address child sexual abuse through a comprehensive public health approach. Finally, ideas for enhancing primary, secondary, and tertiary prevention strategies in Australia are highlighted. Conclusions: The Australian child sexual abuse prevention agenda would benefit from adopting a measured public health approach involving the design, implementation, and evaluation of primary, secondary, and tertiary interventions. Early intervention strategies are particularly underdeveloped in an Australian context.","author":[{"dropping-particle":"","family":"McKibbin","given":"Gemma","non-dropping-particle":"","parse-names":false,"suffix":""},{"dropping-particle":"","family":"Humphreys","given":"Cathy","non-dropping-particle":"","parse-names":false,"suffix":""}],"container-title":"Child Abuse and Neglect","id":"ITEM-2","issue":"104422","issued":{"date-parts":[["2020"]]},"page":"1-8","title":"Future directions in child sexual abuse prevention: An Australian perspective","type":"article-journal","volume":"105"},"uris":["http://www.mendeley.com/documents/?uuid=6ed0d439-0670-3c41-a6f1-b54bfbbf039b"]}],"mendeley":{"formattedCitation":"(Hegarty et al., 2016; McKibbin &amp; Humphreys, 2020)","plainTextFormattedCitation":"(Hegarty et al., 2016; McKibbin &amp; Humphreys, 2020)","previouslyFormattedCitation":"(Hegarty et al., 2016; McKibbin &amp; Humphreys, 2020)"},"properties":{"noteIndex":0},"schema":"https://github.com/citation-style-language/schema/raw/master/csl-citation.json"}</w:instrText>
      </w:r>
      <w:r>
        <w:rPr>
          <w:lang w:eastAsia="en-AU" w:bidi="en-US"/>
        </w:rPr>
        <w:fldChar w:fldCharType="separate"/>
      </w:r>
      <w:r w:rsidRPr="00DB57AC">
        <w:rPr>
          <w:noProof/>
          <w:lang w:eastAsia="en-AU" w:bidi="en-US"/>
        </w:rPr>
        <w:t>(Hegarty et al., 2016; McKibbin &amp; Humphreys, 2020)</w:t>
      </w:r>
      <w:r>
        <w:rPr>
          <w:lang w:eastAsia="en-AU" w:bidi="en-US"/>
        </w:rPr>
        <w:fldChar w:fldCharType="end"/>
      </w:r>
      <w:r w:rsidR="00C757A3">
        <w:rPr>
          <w:lang w:eastAsia="en-AU" w:bidi="en-US"/>
        </w:rPr>
        <w:t>.</w:t>
      </w:r>
    </w:p>
    <w:p w14:paraId="0B26611C" w14:textId="77777777" w:rsidR="0019421E" w:rsidRPr="003C4C52" w:rsidRDefault="0019421E" w:rsidP="00A429E0">
      <w:pPr>
        <w:pStyle w:val="Pullouts"/>
        <w:rPr>
          <w:caps/>
        </w:rPr>
      </w:pPr>
      <w:r w:rsidRPr="003C4C52">
        <w:t>Examples:</w:t>
      </w:r>
    </w:p>
    <w:p w14:paraId="5A6813BC" w14:textId="6BC2EF91" w:rsidR="0019421E" w:rsidRPr="003C4C52" w:rsidRDefault="00A429E0" w:rsidP="00A429E0">
      <w:pPr>
        <w:pStyle w:val="Pullouts"/>
        <w:rPr>
          <w:rFonts w:asciiTheme="minorHAnsi" w:hAnsiTheme="minorHAnsi"/>
          <w:caps/>
        </w:rPr>
      </w:pPr>
      <w:r w:rsidRPr="00A429E0">
        <w:rPr>
          <w:rFonts w:asciiTheme="minorHAnsi" w:hAnsiTheme="minorHAnsi"/>
          <w:i w:val="0"/>
        </w:rPr>
        <w:t>-</w:t>
      </w:r>
      <w:r>
        <w:rPr>
          <w:rFonts w:asciiTheme="minorHAnsi" w:hAnsiTheme="minorHAnsi"/>
        </w:rPr>
        <w:t xml:space="preserve"> </w:t>
      </w:r>
      <w:r w:rsidR="0019421E" w:rsidRPr="003C4C52">
        <w:rPr>
          <w:rFonts w:asciiTheme="minorHAnsi" w:hAnsiTheme="minorHAnsi"/>
        </w:rPr>
        <w:t>Coaching boys to men</w:t>
      </w:r>
      <w:r w:rsidR="0019421E" w:rsidRPr="003C4C52">
        <w:rPr>
          <w:rFonts w:asciiTheme="minorHAnsi" w:hAnsiTheme="minorHAnsi"/>
          <w:caps/>
        </w:rPr>
        <w:t xml:space="preserve"> </w:t>
      </w:r>
    </w:p>
    <w:p w14:paraId="65CA05B6" w14:textId="533DAA35" w:rsidR="0019421E" w:rsidRPr="0019421E" w:rsidRDefault="00A429E0" w:rsidP="00A429E0">
      <w:pPr>
        <w:pStyle w:val="Pullouts"/>
        <w:rPr>
          <w:rFonts w:asciiTheme="minorHAnsi" w:hAnsiTheme="minorHAnsi"/>
          <w:caps/>
        </w:rPr>
      </w:pPr>
      <w:r>
        <w:rPr>
          <w:rFonts w:asciiTheme="minorHAnsi" w:hAnsiTheme="minorHAnsi"/>
        </w:rPr>
        <w:t xml:space="preserve">- </w:t>
      </w:r>
      <w:r w:rsidR="0019421E" w:rsidRPr="003C4C52">
        <w:rPr>
          <w:rFonts w:asciiTheme="minorHAnsi" w:hAnsiTheme="minorHAnsi"/>
        </w:rPr>
        <w:t>Whole-of-system interventions</w:t>
      </w:r>
    </w:p>
    <w:p w14:paraId="5DB858FF" w14:textId="77777777" w:rsidR="0019421E" w:rsidRPr="0019421E" w:rsidRDefault="0019421E" w:rsidP="00A429E0">
      <w:pPr>
        <w:pStyle w:val="Pullouts"/>
        <w:rPr>
          <w:caps/>
        </w:rPr>
      </w:pPr>
    </w:p>
    <w:p w14:paraId="028CBBB6" w14:textId="4C920E3F" w:rsidR="0019421E" w:rsidRDefault="0019421E" w:rsidP="00A429E0">
      <w:pPr>
        <w:pStyle w:val="Pullouts"/>
        <w:sectPr w:rsidR="0019421E" w:rsidSect="00451DAC">
          <w:type w:val="continuous"/>
          <w:pgSz w:w="11906" w:h="16838" w:code="9"/>
          <w:pgMar w:top="2240" w:right="709" w:bottom="1276" w:left="1418" w:header="709" w:footer="624" w:gutter="0"/>
          <w:cols w:space="708"/>
          <w:docGrid w:linePitch="360"/>
        </w:sectPr>
      </w:pPr>
    </w:p>
    <w:p w14:paraId="51A5F27B" w14:textId="590716B7" w:rsidR="00147555" w:rsidRDefault="008A682F" w:rsidP="00632460">
      <w:pPr>
        <w:sectPr w:rsidR="00147555" w:rsidSect="00451DAC">
          <w:type w:val="continuous"/>
          <w:pgSz w:w="16838" w:h="11906" w:orient="landscape" w:code="9"/>
          <w:pgMar w:top="1418" w:right="2240" w:bottom="709" w:left="1276" w:header="709" w:footer="624" w:gutter="0"/>
          <w:cols w:space="708"/>
          <w:docGrid w:linePitch="360"/>
        </w:sectPr>
      </w:pPr>
      <w:r>
        <w:rPr>
          <w:noProof/>
          <w:lang w:eastAsia="en-AU"/>
        </w:rPr>
        <w:lastRenderedPageBreak/>
        <w:drawing>
          <wp:anchor distT="0" distB="0" distL="114300" distR="114300" simplePos="0" relativeHeight="251670554" behindDoc="0" locked="0" layoutInCell="1" allowOverlap="1" wp14:anchorId="06F27179" wp14:editId="6953C67C">
            <wp:simplePos x="0" y="0"/>
            <wp:positionH relativeFrom="column">
              <wp:posOffset>0</wp:posOffset>
            </wp:positionH>
            <wp:positionV relativeFrom="paragraph">
              <wp:posOffset>0</wp:posOffset>
            </wp:positionV>
            <wp:extent cx="8752634" cy="5273787"/>
            <wp:effectExtent l="0" t="0" r="0" b="0"/>
            <wp:wrapNone/>
            <wp:docPr id="34" name="Picture 34" descr="Figure 5: Transform social norms&#10;Three columns headed Activities/Interventions, Short-term Outcome, Long-Term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igure 5: Transform social norms&#10;Three columns headed Activities/Interventions, Short-term Outcome, Long-Term Outcomes"/>
                    <pic:cNvPicPr/>
                  </pic:nvPicPr>
                  <pic:blipFill>
                    <a:blip r:embed="rId29">
                      <a:extLst>
                        <a:ext uri="{28A0092B-C50C-407E-A947-70E740481C1C}">
                          <a14:useLocalDpi xmlns:a14="http://schemas.microsoft.com/office/drawing/2010/main" val="0"/>
                        </a:ext>
                      </a:extLst>
                    </a:blip>
                    <a:stretch>
                      <a:fillRect/>
                    </a:stretch>
                  </pic:blipFill>
                  <pic:spPr>
                    <a:xfrm>
                      <a:off x="0" y="0"/>
                      <a:ext cx="8752634" cy="5273787"/>
                    </a:xfrm>
                    <a:prstGeom prst="rect">
                      <a:avLst/>
                    </a:prstGeom>
                  </pic:spPr>
                </pic:pic>
              </a:graphicData>
            </a:graphic>
            <wp14:sizeRelH relativeFrom="page">
              <wp14:pctWidth>0</wp14:pctWidth>
            </wp14:sizeRelH>
            <wp14:sizeRelV relativeFrom="page">
              <wp14:pctHeight>0</wp14:pctHeight>
            </wp14:sizeRelV>
          </wp:anchor>
        </w:drawing>
      </w:r>
      <w:r w:rsidR="002A18BB">
        <w:rPr>
          <w:noProof/>
          <w:lang w:eastAsia="en-AU"/>
        </w:rPr>
        <mc:AlternateContent>
          <mc:Choice Requires="wps">
            <w:drawing>
              <wp:anchor distT="0" distB="0" distL="114300" distR="114300" simplePos="0" relativeHeight="251657225" behindDoc="0" locked="0" layoutInCell="1" allowOverlap="1" wp14:anchorId="5A028BFE" wp14:editId="20FDFA4A">
                <wp:simplePos x="0" y="0"/>
                <wp:positionH relativeFrom="column">
                  <wp:posOffset>-187325</wp:posOffset>
                </wp:positionH>
                <wp:positionV relativeFrom="paragraph">
                  <wp:posOffset>5355478</wp:posOffset>
                </wp:positionV>
                <wp:extent cx="8109585" cy="63754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8109585" cy="637540"/>
                        </a:xfrm>
                        <a:prstGeom prst="rect">
                          <a:avLst/>
                        </a:prstGeom>
                        <a:solidFill>
                          <a:prstClr val="white"/>
                        </a:solidFill>
                        <a:ln>
                          <a:noFill/>
                        </a:ln>
                      </wps:spPr>
                      <wps:txbx>
                        <w:txbxContent>
                          <w:p w14:paraId="3C3385D8" w14:textId="7FDDB57C" w:rsidR="002423D7" w:rsidRPr="00355CA1" w:rsidRDefault="002423D7" w:rsidP="00183C4B">
                            <w:pPr>
                              <w:pStyle w:val="Caption"/>
                              <w:rPr>
                                <w:sz w:val="18"/>
                              </w:rPr>
                            </w:pPr>
                            <w:bookmarkStart w:id="60" w:name="_Toc65156132"/>
                            <w:r>
                              <w:t xml:space="preserve">Figure </w:t>
                            </w:r>
                            <w:r w:rsidR="007E0DCE">
                              <w:t>5</w:t>
                            </w:r>
                            <w:r w:rsidR="0019421E">
                              <w:t>:</w:t>
                            </w:r>
                            <w:r>
                              <w:t xml:space="preserve"> Transform social norms</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028BFE" id="Text Box 18" o:spid="_x0000_s1030" type="#_x0000_t202" style="position:absolute;margin-left:-14.75pt;margin-top:421.7pt;width:638.55pt;height:50.2pt;z-index:251657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" stroked="f">
                <v:textbox inset="0,0,0,0">
                  <w:txbxContent>
                    <w:p w14:paraId="3C3385D8" w14:textId="7FDDB57C" w:rsidR="002423D7" w:rsidRPr="00355CA1" w:rsidRDefault="002423D7" w:rsidP="00183C4B">
                      <w:pPr>
                        <w:pStyle w:val="Caption"/>
                        <w:rPr>
                          <w:sz w:val="18"/>
                        </w:rPr>
                      </w:pPr>
                      <w:bookmarkStart w:id="64" w:name="_Toc65156132"/>
                      <w:r>
                        <w:t xml:space="preserve">Figure </w:t>
                      </w:r>
                      <w:r w:rsidR="007E0DCE">
                        <w:t>5</w:t>
                      </w:r>
                      <w:r w:rsidR="0019421E">
                        <w:t>:</w:t>
                      </w:r>
                      <w:r>
                        <w:t xml:space="preserve"> Transform social norms</w:t>
                      </w:r>
                      <w:bookmarkEnd w:id="64"/>
                    </w:p>
                  </w:txbxContent>
                </v:textbox>
                <w10:wrap type="square"/>
              </v:shape>
            </w:pict>
          </mc:Fallback>
        </mc:AlternateContent>
      </w:r>
    </w:p>
    <w:p w14:paraId="15E2F03E" w14:textId="46DAD380" w:rsidR="008A682F" w:rsidRPr="00106C03" w:rsidRDefault="007022CC" w:rsidP="00A429E0">
      <w:pPr>
        <w:pStyle w:val="LTU-Subhead1"/>
      </w:pPr>
      <w:bookmarkStart w:id="61" w:name="_Toc67035853"/>
      <w:r w:rsidRPr="00106C03">
        <w:lastRenderedPageBreak/>
        <w:t xml:space="preserve">Transform </w:t>
      </w:r>
      <w:r w:rsidRPr="00A429E0">
        <w:t>Social</w:t>
      </w:r>
      <w:r w:rsidRPr="00106C03">
        <w:t xml:space="preserve"> Norms</w:t>
      </w:r>
      <w:bookmarkEnd w:id="61"/>
    </w:p>
    <w:p w14:paraId="25CFC61C" w14:textId="4C158709" w:rsidR="007022CC" w:rsidRPr="00A429E0" w:rsidRDefault="007022CC" w:rsidP="00A429E0">
      <w:pPr>
        <w:pStyle w:val="LTU-Subhead2"/>
      </w:pPr>
      <w:r w:rsidRPr="00106C03">
        <w:t>Rationale</w:t>
      </w:r>
    </w:p>
    <w:p w14:paraId="2EEFE9D4" w14:textId="0FD742E4" w:rsidR="007022CC" w:rsidRDefault="007022CC" w:rsidP="00B60AD0">
      <w:pPr>
        <w:pStyle w:val="LTU-Body10pt"/>
      </w:pPr>
      <w:r>
        <w:t>Social norms are the broad attitudes and cultures within society that condone all forms of VAW, including SVH. National population surveys continue to indicate that SVH is prevalent</w:t>
      </w:r>
      <w:r w:rsidR="00774542">
        <w:t xml:space="preserve"> </w:t>
      </w:r>
      <w:r>
        <w:fldChar w:fldCharType="begin" w:fldLock="1"/>
      </w:r>
      <w:r w:rsidR="008836A9">
        <w:instrText>ADDIN CSL_CITATION {"citationItems":[{"id":"ITEM-1","itemData":{"author":[{"dropping-particle":"","family":"Australian Bureau of Statistics","given":"","non-dropping-particle":"","parse-names":false,"suffix":""}],"id":"ITEM-1","issued":{"date-parts":[["2017"]]},"publisher":"ABS","publisher-place":"Canberra","title":"Personal safety survey","type":"webpage"},"uris":["http://www.mendeley.com/documents/?uuid=172a3764-7791-3e94-85a5-38a944b655c4"]}],"mendeley":{"formattedCitation":"(Australian Bureau of Statistics, 2017)","plainTextFormattedCitation":"(Australian Bureau of Statistics, 2017)","previouslyFormattedCitation":"(Australian Bureau of Statistics, 2017)"},"properties":{"noteIndex":0},"schema":"https://github.com/citation-style-language/schema/raw/master/csl-citation.json"}</w:instrText>
      </w:r>
      <w:r>
        <w:fldChar w:fldCharType="separate"/>
      </w:r>
      <w:r w:rsidR="00180FF0" w:rsidRPr="00180FF0">
        <w:rPr>
          <w:noProof/>
        </w:rPr>
        <w:t>(Australian Bureau of Statistics, 2017)</w:t>
      </w:r>
      <w:r>
        <w:fldChar w:fldCharType="end"/>
      </w:r>
      <w:r>
        <w:t xml:space="preserve"> and causes substantial stress and poor mental and physical health, with very low rates of reporting by victim</w:t>
      </w:r>
      <w:r w:rsidR="00A86D2A">
        <w:t>–</w:t>
      </w:r>
      <w:r>
        <w:t>survivors. Community SVH attitudes, beliefs and behaviours are difficult to shift, with a significant proportion of Australians believing that gender inequality is exaggerated and that women make up claims of abuse to suit their circumstances</w:t>
      </w:r>
      <w:r w:rsidR="00B67ADA">
        <w:t xml:space="preserve"> </w:t>
      </w:r>
      <w:r>
        <w:fldChar w:fldCharType="begin" w:fldLock="1"/>
      </w:r>
      <w:r>
        <w:instrText>ADDIN CSL_CITATION {"citationItems":[{"id":"ITEM-1","itemData":{"author":[{"dropping-particle":"","family":"Webster","given":"Kim","non-dropping-particle":"","parse-names":false,"suffix":""},{"dropping-particle":"","family":"Diemer","given":"K.","non-dropping-particle":"","parse-names":false,"suffix":""},{"dropping-particle":"","family":"Honey","given":"N.","non-dropping-particle":"","parse-names":false,"suffix":""},{"dropping-particle":"","family":"Mannix","given":"S.","non-dropping-particle":"","parse-names":false,"suffix":""},{"dropping-particle":"","family":"Mickle","given":"J.","non-dropping-particle":"","parse-names":false,"suffix":""},{"dropping-particle":"","family":"Morgan","given":"J.","non-dropping-particle":"","parse-names":false,"suffix":""},{"dropping-particle":"","family":"Parkes","given":"A.","non-dropping-particle":"","parse-names":false,"suffix":""},{"dropping-particle":"","family":"Politoff","given":"V.","non-dropping-particle":"","parse-names":false,"suffix":""},{"dropping-particle":"","family":"Powell","given":"A.","non-dropping-particle":"","parse-names":false,"suffix":""},{"dropping-particle":"","family":"Stubbs","given":"J.","non-dropping-particle":"","parse-names":false,"suffix":""},{"dropping-particle":"","family":"Ward","given":"A","non-dropping-particle":"","parse-names":false,"suffix":""}],"id":"ITEM-1","issued":{"date-parts":[["2017"]]},"publisher":"ANROWS","publisher-place":"Sydney","title":"Australians’ attitudes to violence against women and gender equality. Findings from the 2017 National Community Attitudes Survey towards Violence against Women Survey","type":"report"},"uris":["http://www.mendeley.com/documents/?uuid=4a4412d6-f4ae-3504-8e6b-f57bfe88db6b"]}],"mendeley":{"formattedCitation":"(Webster et al., 2017)","plainTextFormattedCitation":"(Webster et al., 2017)","previouslyFormattedCitation":"(Webster et al., 2017)"},"properties":{"noteIndex":0},"schema":"https://github.com/citation-style-language/schema/raw/master/csl-citation.json"}</w:instrText>
      </w:r>
      <w:r>
        <w:fldChar w:fldCharType="separate"/>
      </w:r>
      <w:r w:rsidR="00B67ADA" w:rsidRPr="4A008F5A">
        <w:rPr>
          <w:noProof/>
        </w:rPr>
        <w:t>(Webster et al., 2017)</w:t>
      </w:r>
      <w:r>
        <w:fldChar w:fldCharType="end"/>
      </w:r>
      <w:r>
        <w:t>. Actions such as bystander activities have declined, with sexual harassment bystander actions reported less often in 2018, compared to reports from 2012</w:t>
      </w:r>
      <w:r w:rsidR="3E309A5B">
        <w:t xml:space="preserve"> </w:t>
      </w:r>
      <w:r>
        <w:fldChar w:fldCharType="begin" w:fldLock="1"/>
      </w:r>
      <w:r>
        <w:instrText>ADDIN CSL_CITATION {"citationItems":[{"id":"ITEM-1","itemData":{"author":[{"dropping-particle":"","family":"Australian Human Rights Commission","given":"","non-dropping-particle":"","parse-names":false,"suffix":""}],"id":"ITEM-1","issued":{"date-parts":[["2018"]]},"publisher-place":"Sydney","title":"Everyone's business: The fourth national survey on sexual harassment in Australian workplaces","type":"report"},"uris":["http://www.mendeley.com/documents/?uuid=0e29f401-6fe5-4c1c-a41a-6d23d10c03e9"]}],"mendeley":{"formattedCitation":"(Australian Human Rights Commission, 2018)","manualFormatting":"(AHRC, 2018)","plainTextFormattedCitation":"(Australian Human Rights Commission, 2018)","previouslyFormattedCitation":"(Australian Human Rights Commission, 2018)"},"properties":{"noteIndex":0},"schema":"https://github.com/citation-style-language/schema/raw/master/csl-citation.json"}</w:instrText>
      </w:r>
      <w:r>
        <w:fldChar w:fldCharType="separate"/>
      </w:r>
      <w:r w:rsidR="002A45D9" w:rsidRPr="4A008F5A">
        <w:rPr>
          <w:noProof/>
        </w:rPr>
        <w:t>(A</w:t>
      </w:r>
      <w:r w:rsidR="0090409C" w:rsidRPr="4A008F5A">
        <w:rPr>
          <w:noProof/>
        </w:rPr>
        <w:t>HRC</w:t>
      </w:r>
      <w:r w:rsidR="002A45D9" w:rsidRPr="4A008F5A">
        <w:rPr>
          <w:noProof/>
        </w:rPr>
        <w:t>, 2018)</w:t>
      </w:r>
      <w:r>
        <w:fldChar w:fldCharType="end"/>
      </w:r>
      <w:r>
        <w:t xml:space="preserve">. A </w:t>
      </w:r>
      <w:r w:rsidR="00A86D2A">
        <w:t>long-</w:t>
      </w:r>
      <w:r>
        <w:t xml:space="preserve">term, sustained approach </w:t>
      </w:r>
      <w:r w:rsidR="00F9474B">
        <w:t xml:space="preserve">to primary prevention, with ongoing </w:t>
      </w:r>
      <w:r>
        <w:t>investment</w:t>
      </w:r>
      <w:r w:rsidR="00F9474B">
        <w:t>,</w:t>
      </w:r>
      <w:r>
        <w:t xml:space="preserve"> is needed.</w:t>
      </w:r>
    </w:p>
    <w:p w14:paraId="44EA32B2" w14:textId="322FE583" w:rsidR="007022CC" w:rsidRPr="00906F29" w:rsidRDefault="007022CC" w:rsidP="00B60AD0">
      <w:pPr>
        <w:pStyle w:val="LTU-Body10pt"/>
      </w:pPr>
      <w:r w:rsidRPr="00906F29">
        <w:t xml:space="preserve">Along with individual and relational approaches to the primary prevention of SVH, </w:t>
      </w:r>
      <w:r w:rsidR="00A86D2A" w:rsidRPr="00906F29">
        <w:t>whole</w:t>
      </w:r>
      <w:r w:rsidR="00A86D2A">
        <w:t>-</w:t>
      </w:r>
      <w:r w:rsidR="00A86D2A" w:rsidRPr="00906F29">
        <w:t>of</w:t>
      </w:r>
      <w:r w:rsidR="00A86D2A">
        <w:t>-</w:t>
      </w:r>
      <w:r w:rsidRPr="00906F29">
        <w:t>population interventions can transform key gendered drivers and the reinforcing factors that contribute to SVH</w:t>
      </w:r>
      <w:r w:rsidR="002A6893">
        <w:t>,</w:t>
      </w:r>
      <w:r w:rsidR="00B213FC">
        <w:t xml:space="preserve"> </w:t>
      </w:r>
      <w:r w:rsidRPr="00906F29">
        <w:t>leading to greater gender eq</w:t>
      </w:r>
      <w:r>
        <w:t>ua</w:t>
      </w:r>
      <w:r w:rsidRPr="00906F29">
        <w:t>lity. Building strong and inclusive social movements that can facilitate men</w:t>
      </w:r>
      <w:r>
        <w:t>’s engagement</w:t>
      </w:r>
      <w:r w:rsidRPr="00906F29">
        <w:t xml:space="preserve"> as allies, </w:t>
      </w:r>
      <w:r>
        <w:t xml:space="preserve">enhance </w:t>
      </w:r>
      <w:r w:rsidRPr="00906F29">
        <w:t>women</w:t>
      </w:r>
      <w:r w:rsidR="009A1993">
        <w:t>,</w:t>
      </w:r>
      <w:r w:rsidR="00F9474B">
        <w:t xml:space="preserve"> </w:t>
      </w:r>
      <w:r w:rsidR="00E147E4">
        <w:t>trans and gender diverse</w:t>
      </w:r>
      <w:r w:rsidR="00F9474B">
        <w:t xml:space="preserve"> people</w:t>
      </w:r>
      <w:r w:rsidRPr="00906F29">
        <w:t>’s voices and social activism will sustain change.</w:t>
      </w:r>
    </w:p>
    <w:p w14:paraId="67A7B7D8" w14:textId="2FE1C714" w:rsidR="007022CC" w:rsidRPr="00A429E0" w:rsidRDefault="007022CC" w:rsidP="00A429E0">
      <w:pPr>
        <w:pStyle w:val="LTU-Subhead3"/>
      </w:pPr>
      <w:r w:rsidRPr="00106C03">
        <w:t>How to do it</w:t>
      </w:r>
      <w:r w:rsidR="00A73331" w:rsidRPr="00106C03">
        <w:t>?</w:t>
      </w:r>
      <w:r w:rsidRPr="00106C03">
        <w:t xml:space="preserve"> Activities/interventions</w:t>
      </w:r>
      <w:r w:rsidR="00D4516E" w:rsidRPr="00106C03">
        <w:t xml:space="preserve"> </w:t>
      </w:r>
    </w:p>
    <w:p w14:paraId="14682990" w14:textId="6E2ED599" w:rsidR="0099141F" w:rsidRPr="0099141F" w:rsidRDefault="007022CC" w:rsidP="006F1C63">
      <w:pPr>
        <w:pStyle w:val="LTU-Bullets10pt"/>
        <w:rPr>
          <w:rFonts w:cstheme="minorBidi"/>
        </w:rPr>
      </w:pPr>
      <w:r w:rsidRPr="10AE549A">
        <w:t xml:space="preserve">SVH national, intersectional social marketing campaigns </w:t>
      </w:r>
      <w:r w:rsidR="00333328">
        <w:t>(</w:t>
      </w:r>
      <w:r w:rsidRPr="10AE549A">
        <w:t>e.g.</w:t>
      </w:r>
      <w:r w:rsidR="00D4516E">
        <w:t>,</w:t>
      </w:r>
      <w:r w:rsidRPr="10AE549A">
        <w:t xml:space="preserve"> promoting healthy masculinities, rape myth acceptance and consent</w:t>
      </w:r>
      <w:r w:rsidR="00EF4EED" w:rsidRPr="10AE549A">
        <w:t>, critical media engagement</w:t>
      </w:r>
      <w:r w:rsidR="00333328">
        <w:t>)</w:t>
      </w:r>
    </w:p>
    <w:p w14:paraId="7BF035A8" w14:textId="310D2CCE" w:rsidR="0099141F" w:rsidRDefault="007022CC" w:rsidP="006F1C63">
      <w:pPr>
        <w:pStyle w:val="LTU-Bullets10pt"/>
        <w:rPr>
          <w:rFonts w:cstheme="minorBidi"/>
        </w:rPr>
      </w:pPr>
      <w:r w:rsidRPr="10AE549A">
        <w:t xml:space="preserve">SVH </w:t>
      </w:r>
      <w:r w:rsidR="00EF4EED" w:rsidRPr="10AE549A">
        <w:t xml:space="preserve">co-designed and intersectional </w:t>
      </w:r>
      <w:r w:rsidRPr="10AE549A">
        <w:t xml:space="preserve">community </w:t>
      </w:r>
      <w:r w:rsidR="00EF4EED" w:rsidRPr="10AE549A">
        <w:t xml:space="preserve">resource </w:t>
      </w:r>
      <w:r w:rsidRPr="10AE549A">
        <w:t xml:space="preserve">development and </w:t>
      </w:r>
      <w:r w:rsidR="00EF4EED" w:rsidRPr="10AE549A">
        <w:t xml:space="preserve">education </w:t>
      </w:r>
      <w:r w:rsidR="005209D6">
        <w:t>(</w:t>
      </w:r>
      <w:r w:rsidR="00EF4EED" w:rsidRPr="10AE549A">
        <w:t>e.g.</w:t>
      </w:r>
      <w:r w:rsidR="00D4516E">
        <w:t>,</w:t>
      </w:r>
      <w:r w:rsidR="00EF4EED" w:rsidRPr="10AE549A">
        <w:t xml:space="preserve"> embed SVH</w:t>
      </w:r>
      <w:r w:rsidR="006A1195">
        <w:t xml:space="preserve"> primary</w:t>
      </w:r>
      <w:r w:rsidR="00EF4EED" w:rsidRPr="10AE549A">
        <w:t xml:space="preserve"> prevention content in curricula for mig</w:t>
      </w:r>
      <w:r w:rsidR="00E226C2" w:rsidRPr="10AE549A">
        <w:t>r</w:t>
      </w:r>
      <w:r w:rsidR="00EF4EED" w:rsidRPr="10AE549A">
        <w:t>ant and refugee English classes</w:t>
      </w:r>
      <w:r w:rsidR="005209D6">
        <w:t>)</w:t>
      </w:r>
    </w:p>
    <w:p w14:paraId="3524BF21" w14:textId="68FFA890" w:rsidR="0099141F" w:rsidRDefault="007022CC" w:rsidP="006F1C63">
      <w:pPr>
        <w:pStyle w:val="LTU-Bullets10pt"/>
        <w:rPr>
          <w:rFonts w:cstheme="minorBidi"/>
        </w:rPr>
      </w:pPr>
      <w:r w:rsidRPr="0099141F">
        <w:t xml:space="preserve">SVH bystander and perpetrator programs </w:t>
      </w:r>
      <w:r w:rsidR="005209D6">
        <w:t>(</w:t>
      </w:r>
      <w:r w:rsidRPr="0099141F">
        <w:t>e.g.</w:t>
      </w:r>
      <w:r w:rsidR="00D4516E">
        <w:t>,</w:t>
      </w:r>
      <w:r w:rsidRPr="0099141F">
        <w:t xml:space="preserve"> </w:t>
      </w:r>
      <w:r w:rsidR="005209D6">
        <w:rPr>
          <w:i/>
          <w:iCs/>
        </w:rPr>
        <w:t>The Men’s Program</w:t>
      </w:r>
      <w:r w:rsidRPr="0099141F">
        <w:t xml:space="preserve">, challenging </w:t>
      </w:r>
      <w:r w:rsidR="0F491A22" w:rsidRPr="0099141F">
        <w:t xml:space="preserve">an </w:t>
      </w:r>
      <w:r w:rsidRPr="0099141F">
        <w:t xml:space="preserve">alcohol </w:t>
      </w:r>
      <w:r w:rsidR="72EFB146" w:rsidRPr="0099141F">
        <w:t xml:space="preserve">abuse </w:t>
      </w:r>
      <w:r w:rsidRPr="0099141F">
        <w:t>culture</w:t>
      </w:r>
      <w:r w:rsidR="005209D6">
        <w:t>)</w:t>
      </w:r>
    </w:p>
    <w:p w14:paraId="2A71C154" w14:textId="0EC96200" w:rsidR="007022CC" w:rsidRPr="0099141F" w:rsidRDefault="007022CC" w:rsidP="006F1C63">
      <w:pPr>
        <w:pStyle w:val="LTU-Bullets10pt"/>
        <w:rPr>
          <w:rFonts w:cstheme="minorBidi"/>
        </w:rPr>
      </w:pPr>
      <w:r w:rsidRPr="10AE549A">
        <w:rPr>
          <w:rFonts w:cstheme="minorBidi"/>
        </w:rPr>
        <w:t xml:space="preserve">Sexual harassment interventions </w:t>
      </w:r>
      <w:r w:rsidR="005209D6">
        <w:rPr>
          <w:rFonts w:cstheme="minorBidi"/>
        </w:rPr>
        <w:t>(</w:t>
      </w:r>
      <w:r w:rsidRPr="10AE549A">
        <w:rPr>
          <w:rFonts w:cstheme="minorBidi"/>
        </w:rPr>
        <w:t>e.g.</w:t>
      </w:r>
      <w:r w:rsidR="00D4516E">
        <w:rPr>
          <w:rFonts w:cstheme="minorBidi"/>
        </w:rPr>
        <w:t>,</w:t>
      </w:r>
      <w:r w:rsidRPr="10AE549A">
        <w:rPr>
          <w:rFonts w:cstheme="minorBidi"/>
        </w:rPr>
        <w:t xml:space="preserve"> workplace rights of young people/marginalised populations</w:t>
      </w:r>
      <w:r w:rsidR="005209D6">
        <w:rPr>
          <w:rFonts w:cstheme="minorBidi"/>
        </w:rPr>
        <w:t>)</w:t>
      </w:r>
    </w:p>
    <w:p w14:paraId="0479301B" w14:textId="77777777" w:rsidR="008A682F" w:rsidRDefault="008A682F" w:rsidP="00B60AD0">
      <w:pPr>
        <w:pStyle w:val="LTU-Body10pt"/>
        <w:rPr>
          <w:b/>
          <w:bCs/>
          <w:color w:val="929904"/>
        </w:rPr>
      </w:pPr>
    </w:p>
    <w:p w14:paraId="38372C83" w14:textId="77777777" w:rsidR="008A682F" w:rsidRDefault="008A682F" w:rsidP="00B60AD0">
      <w:pPr>
        <w:pStyle w:val="LTU-Body10pt"/>
        <w:rPr>
          <w:b/>
          <w:bCs/>
          <w:color w:val="929904"/>
        </w:rPr>
      </w:pPr>
    </w:p>
    <w:p w14:paraId="041F77C4" w14:textId="564BC064" w:rsidR="007022CC" w:rsidRPr="00106C03" w:rsidRDefault="007022CC" w:rsidP="00A429E0">
      <w:pPr>
        <w:pStyle w:val="LTU-Subhead3"/>
      </w:pPr>
      <w:r w:rsidRPr="00106C03">
        <w:t>What will happen</w:t>
      </w:r>
      <w:r w:rsidR="00A73331" w:rsidRPr="00106C03">
        <w:t xml:space="preserve">? </w:t>
      </w:r>
      <w:r w:rsidR="00D4516E" w:rsidRPr="00106C03">
        <w:t>Short-</w:t>
      </w:r>
      <w:r w:rsidRPr="00106C03">
        <w:t>term outcomes</w:t>
      </w:r>
    </w:p>
    <w:p w14:paraId="4D0DF806" w14:textId="77777777" w:rsidR="0099141F" w:rsidRDefault="007022CC" w:rsidP="006F1C63">
      <w:pPr>
        <w:pStyle w:val="LTU-Bullets10pt"/>
        <w:rPr>
          <w:rFonts w:cstheme="minorBidi"/>
        </w:rPr>
      </w:pPr>
      <w:r w:rsidRPr="10AE549A">
        <w:t>Improved community awareness of SVH and harms, affirmative consent, celebration of sexual diversity</w:t>
      </w:r>
    </w:p>
    <w:p w14:paraId="6CA7D8AA" w14:textId="5854ECD1" w:rsidR="00E55E34" w:rsidRDefault="007022CC" w:rsidP="006F1C63">
      <w:pPr>
        <w:pStyle w:val="LTU-Bullets10pt"/>
        <w:rPr>
          <w:rFonts w:cstheme="minorBidi"/>
        </w:rPr>
      </w:pPr>
      <w:r w:rsidRPr="10AE549A">
        <w:t>Greater engagement with SVH resources</w:t>
      </w:r>
      <w:r w:rsidR="0061449D" w:rsidRPr="10AE549A">
        <w:t xml:space="preserve"> and improved knowledge and awareness of SVH amongst migrant and refugee populations</w:t>
      </w:r>
    </w:p>
    <w:p w14:paraId="19D8138E" w14:textId="77777777" w:rsidR="00E55E34" w:rsidRDefault="007022CC" w:rsidP="006F1C63">
      <w:pPr>
        <w:pStyle w:val="LTU-Bullets10pt"/>
        <w:rPr>
          <w:rFonts w:cstheme="minorBidi"/>
        </w:rPr>
      </w:pPr>
      <w:r w:rsidRPr="10AE549A">
        <w:t>Increased SVH bystander knowledge and action/reduction in peer support for SVH</w:t>
      </w:r>
    </w:p>
    <w:p w14:paraId="37B379FA" w14:textId="72C0E95E" w:rsidR="008A682F" w:rsidRPr="00106C03" w:rsidRDefault="007022CC" w:rsidP="006F1C63">
      <w:pPr>
        <w:pStyle w:val="LTU-Bullets10pt"/>
        <w:rPr>
          <w:rFonts w:cstheme="minorBidi"/>
        </w:rPr>
      </w:pPr>
      <w:r w:rsidRPr="10AE549A">
        <w:t>Gender stereotypes are challenged</w:t>
      </w:r>
      <w:r w:rsidR="0061449D" w:rsidRPr="10AE549A">
        <w:t>/</w:t>
      </w:r>
      <w:r w:rsidRPr="10AE549A">
        <w:t>shifts in gender power relations</w:t>
      </w:r>
    </w:p>
    <w:p w14:paraId="7347BEBF" w14:textId="77777777" w:rsidR="00106C03" w:rsidRPr="006573B5" w:rsidRDefault="00106C03" w:rsidP="00A429E0">
      <w:pPr>
        <w:pStyle w:val="Pullouts"/>
        <w:rPr>
          <w:caps/>
        </w:rPr>
      </w:pPr>
      <w:r w:rsidRPr="006573B5">
        <w:t>Examples:</w:t>
      </w:r>
    </w:p>
    <w:p w14:paraId="226D8E70" w14:textId="47C88C8A" w:rsidR="00106C03" w:rsidRPr="006573B5" w:rsidRDefault="00A429E0" w:rsidP="00A429E0">
      <w:pPr>
        <w:pStyle w:val="Pullouts"/>
        <w:rPr>
          <w:caps/>
        </w:rPr>
      </w:pPr>
      <w:r w:rsidRPr="00A429E0">
        <w:rPr>
          <w:i w:val="0"/>
        </w:rPr>
        <w:t>-</w:t>
      </w:r>
      <w:r>
        <w:t xml:space="preserve"> </w:t>
      </w:r>
      <w:r w:rsidR="00106C03">
        <w:t>The Men’s P</w:t>
      </w:r>
      <w:r w:rsidR="00106C03" w:rsidRPr="006573B5">
        <w:t>rogram</w:t>
      </w:r>
    </w:p>
    <w:p w14:paraId="5FFE2BA3" w14:textId="6A0F2E0D" w:rsidR="00106C03" w:rsidRPr="006573B5" w:rsidRDefault="00A429E0" w:rsidP="00A429E0">
      <w:pPr>
        <w:pStyle w:val="Pullouts"/>
        <w:rPr>
          <w:caps/>
        </w:rPr>
      </w:pPr>
      <w:r>
        <w:t xml:space="preserve">- </w:t>
      </w:r>
      <w:r w:rsidR="00106C03">
        <w:t>Bringing in the B</w:t>
      </w:r>
      <w:r w:rsidR="00106C03" w:rsidRPr="006573B5">
        <w:t>ystander</w:t>
      </w:r>
    </w:p>
    <w:p w14:paraId="6DC5B042" w14:textId="717FFF64" w:rsidR="00106C03" w:rsidRPr="00106C03" w:rsidRDefault="00A429E0" w:rsidP="00A429E0">
      <w:pPr>
        <w:pStyle w:val="Pullouts"/>
        <w:rPr>
          <w:caps/>
        </w:rPr>
      </w:pPr>
      <w:r>
        <w:t xml:space="preserve">- </w:t>
      </w:r>
      <w:r w:rsidR="00106C03">
        <w:t>The L</w:t>
      </w:r>
      <w:r w:rsidR="00106C03" w:rsidRPr="006573B5">
        <w:t>ine</w:t>
      </w:r>
    </w:p>
    <w:p w14:paraId="043B26A6" w14:textId="3320A8AD" w:rsidR="007022CC" w:rsidRPr="00106C03" w:rsidRDefault="007022CC" w:rsidP="00A429E0">
      <w:pPr>
        <w:pStyle w:val="LTU-Subhead3"/>
      </w:pPr>
      <w:r w:rsidRPr="00106C03">
        <w:t xml:space="preserve">What you </w:t>
      </w:r>
      <w:r w:rsidRPr="00A429E0">
        <w:t>are</w:t>
      </w:r>
      <w:r w:rsidRPr="00106C03">
        <w:t xml:space="preserve"> measuring</w:t>
      </w:r>
      <w:r w:rsidR="00A73331" w:rsidRPr="00106C03">
        <w:t xml:space="preserve">? </w:t>
      </w:r>
      <w:r w:rsidR="00D4516E" w:rsidRPr="00106C03">
        <w:t>L</w:t>
      </w:r>
      <w:r w:rsidRPr="00106C03">
        <w:t>ong</w:t>
      </w:r>
      <w:r w:rsidR="00D4516E" w:rsidRPr="00106C03">
        <w:t>-</w:t>
      </w:r>
      <w:r w:rsidRPr="00106C03">
        <w:t>term outcomes</w:t>
      </w:r>
    </w:p>
    <w:p w14:paraId="487EFA44" w14:textId="29786801" w:rsidR="00E55E34" w:rsidRDefault="6D5503C3" w:rsidP="006F1C63">
      <w:pPr>
        <w:pStyle w:val="LTU-Bullets10pt"/>
        <w:rPr>
          <w:rFonts w:cstheme="minorBidi"/>
        </w:rPr>
      </w:pPr>
      <w:r w:rsidRPr="0E470535">
        <w:t xml:space="preserve">Increased </w:t>
      </w:r>
      <w:r w:rsidR="69421378" w:rsidRPr="5F39A4F3">
        <w:t xml:space="preserve">community </w:t>
      </w:r>
      <w:r w:rsidRPr="5F39A4F3">
        <w:t>SVH</w:t>
      </w:r>
      <w:r w:rsidRPr="0E470535">
        <w:t xml:space="preserve"> knowledge, attitude</w:t>
      </w:r>
      <w:r w:rsidR="00782128">
        <w:t>s</w:t>
      </w:r>
      <w:r w:rsidRPr="0E470535">
        <w:t xml:space="preserve"> and behaviour change; positive masculinities</w:t>
      </w:r>
    </w:p>
    <w:p w14:paraId="68B136DE" w14:textId="034991C2" w:rsidR="00E55E34" w:rsidRDefault="007022CC" w:rsidP="006F1C63">
      <w:pPr>
        <w:pStyle w:val="LTU-Bullets10pt"/>
        <w:rPr>
          <w:rFonts w:cstheme="minorBidi"/>
        </w:rPr>
      </w:pPr>
      <w:r w:rsidRPr="10AE549A">
        <w:rPr>
          <w:rFonts w:cstheme="minorBidi"/>
        </w:rPr>
        <w:t>Increased social activism</w:t>
      </w:r>
      <w:r w:rsidR="00711D14" w:rsidRPr="10AE549A">
        <w:rPr>
          <w:rFonts w:cstheme="minorBidi"/>
        </w:rPr>
        <w:t xml:space="preserve"> and community knowledge and engagement</w:t>
      </w:r>
    </w:p>
    <w:p w14:paraId="1BA97746" w14:textId="43342486" w:rsidR="00E55E34" w:rsidRDefault="007022CC" w:rsidP="006F1C63">
      <w:pPr>
        <w:pStyle w:val="LTU-Bullets10pt"/>
        <w:rPr>
          <w:rFonts w:cstheme="minorBidi"/>
        </w:rPr>
      </w:pPr>
      <w:r w:rsidRPr="10AE549A">
        <w:rPr>
          <w:rFonts w:cstheme="minorBidi"/>
        </w:rPr>
        <w:t>Men’s SVH behaviour change</w:t>
      </w:r>
      <w:r w:rsidR="00D4516E">
        <w:rPr>
          <w:rFonts w:cstheme="minorBidi"/>
        </w:rPr>
        <w:t>—</w:t>
      </w:r>
      <w:r w:rsidRPr="10AE549A">
        <w:rPr>
          <w:rFonts w:cstheme="minorBidi"/>
        </w:rPr>
        <w:t>individual and collective</w:t>
      </w:r>
    </w:p>
    <w:p w14:paraId="288F209D" w14:textId="0E4951A5" w:rsidR="008A682F" w:rsidRPr="00106C03" w:rsidRDefault="007022CC" w:rsidP="006F1C63">
      <w:pPr>
        <w:pStyle w:val="LTU-Bullets10pt"/>
        <w:rPr>
          <w:rFonts w:cstheme="minorBidi"/>
        </w:rPr>
      </w:pPr>
      <w:r w:rsidRPr="00E55E34">
        <w:rPr>
          <w:rFonts w:cstheme="minorBidi"/>
        </w:rPr>
        <w:t>Gender equality</w:t>
      </w:r>
      <w:r w:rsidR="00E222DD" w:rsidRPr="00E55E34">
        <w:rPr>
          <w:rFonts w:cstheme="minorBidi"/>
        </w:rPr>
        <w:t xml:space="preserve"> and reduced perpetration</w:t>
      </w:r>
    </w:p>
    <w:p w14:paraId="78D7401E" w14:textId="159EC7BE" w:rsidR="007022CC" w:rsidRPr="00106C03" w:rsidRDefault="007022CC" w:rsidP="00A429E0">
      <w:pPr>
        <w:pStyle w:val="LTU-Subhead3"/>
      </w:pPr>
      <w:r w:rsidRPr="00106C03">
        <w:t>What evidence is there?</w:t>
      </w:r>
    </w:p>
    <w:p w14:paraId="74C3AC71" w14:textId="426A00F2" w:rsidR="007022CC" w:rsidRDefault="007022CC" w:rsidP="00B60AD0">
      <w:pPr>
        <w:pStyle w:val="LTU-Body10pt"/>
        <w:rPr>
          <w:rFonts w:ascii="Roboto-Regular" w:hAnsi="Roboto-Regular" w:cs="Roboto-Regular"/>
          <w:lang w:eastAsia="ja-JP"/>
        </w:rPr>
      </w:pPr>
      <w:r>
        <w:t>The evidence base for these wider community</w:t>
      </w:r>
      <w:r w:rsidR="0082314F">
        <w:t>-</w:t>
      </w:r>
      <w:r>
        <w:t>level interventions is limited. However</w:t>
      </w:r>
      <w:r w:rsidR="00D4516E">
        <w:t>,</w:t>
      </w:r>
      <w:r>
        <w:t xml:space="preserve"> social marketing and bystander programs such as </w:t>
      </w:r>
      <w:r w:rsidRPr="028605AC">
        <w:rPr>
          <w:i/>
          <w:iCs/>
        </w:rPr>
        <w:t xml:space="preserve">The Men’s Program </w:t>
      </w:r>
      <w:r w:rsidR="006946D7">
        <w:rPr>
          <w:i/>
          <w:iCs/>
        </w:rPr>
        <w:fldChar w:fldCharType="begin" w:fldLock="1"/>
      </w:r>
      <w:r w:rsidR="00C03231">
        <w:rPr>
          <w:i/>
          <w:iCs/>
        </w:rPr>
        <w:instrText>ADDIN CSL_CITATION {"citationItems":[{"id":"ITEM-1","itemData":{"DOI":"http://dx.doi.org/10.1177/1077801211409728","ISBN":"1077-8012","ISSN":"1552-8448","PMID":"21571743","abstract":"This study considered whether a rape prevention program could reduce men's rape myth acceptance, enhance the perceived effectiveness of college men's bystander behavior, and increase men's willingness to intervene as bystanders in potentially dangerous situations. As predicted, college men who experienced The Men's Program significantly increased their self-reported willingness to help as a bystander and their perceived bystander efficacy in comparison to college men who experienced the comparison condition. Men's Program participants also significantly decreased their self-reported rape myth acceptance in comparison with comparison condition participants. The college policy and rape prevention program planning implications of these findings are discussed. (PsycINFO Database Record (c) 2016 APA, all rights reserved)","author":[{"dropping-particle":"","family":"Langhinrichsen-Rohling","given":"Jennifer","non-dropping-particle":"","parse-names":false,"suffix":""},{"dropping-particle":"","family":"Foubert","given":"John D","non-dropping-particle":"","parse-names":false,"suffix":""},{"dropping-particle":"","family":"Brasfield","given":"Hope M","non-dropping-particle":"","parse-names":false,"suffix":""},{"dropping-particle":"","family":"Hill","given":"Brent","non-dropping-particle":"","parse-names":false,"suffix":""},{"dropping-particle":"","family":"Shelley-Tremblay","given":"Shannon","non-dropping-particle":"","parse-names":false,"suffix":""}],"container-title":"Violence Against Women","id":"ITEM-1","issue":"6","issued":{"date-parts":[["2011"]]},"language":"English","note":"From Duplicate 1 (The Men's Program: Does it impact college men's self-reported bystander efficacy and willingness to intervene? [References] - Langhinrichsen-Rohling, Jennifer; Foubert, John D; Brasfield, Hope M; Hill, Brent; Shelley-Tremblay, Shannon)\n\nFrom Duplicate 1 (The Men's Program: Does it impact college men's self-reported bystander efficacy and willingness to intervene? - Langhinrichsen-Rohling, J; Foubert, J D; Brasfield, H M; Hill, B; Shelley-Tremblay, S)\n\nLanghinrichsen-Rohling, Jennifer Foubert, John D Brasfield, Hope M Hill, Brent Shelley-Tremblay, Shannon\n\nFrom Duplicate 2 (The Men's Program: Does it impact college men's self-reported bystander efficacy and willingness to intervene? - Langhinrichsen-Rohling, J; Foubert, J D; Brasfield, H M; Hill, B; Shelley-Tremblay, S)\n\nLanghinrichsen-Rohling, Jennifer Foubert, John D Brasfield, Hope M Hill, Brent Shelley-Tremblay, Shannon","number-of-pages":"743-759","publisher":"Violence Against Women. Vol.17(6), 2011, pp. 743-759.","title":"The Men's Program: Does it impact college men's self-reported bystander efficacy and willingness to intervene?","type":"book","volume":"17"},"uris":["http://www.mendeley.com/documents/?uuid=ee590751-2297-4fbd-b7ab-5ead4520888c"]},{"id":"ITEM-2","itemData":{"DOI":"10.3109/01612840.2012.728279","ISSN":"1096-4673","PMID":"23215988","abstract":"This exploratory study was designed to test the effectiveness of Foubert's intervention, The Men's Program, on a sample of 18- to 25-year-old Hispanic men who are not enrolled at a University or College. We explored participants' perceptions of, reactions to, and experience of the program. The information collected will be used to adapt the program to this specific population in order to increase cultural relevancy and specificity and create lasting attitudinal change. Three groups of six-eight Hispanic males (n = 22) were exposed to the intervention program. The Bystander Attitude Scale and the Rape Attitude and Beliefs Scale were administered as pre- and post-test measures. A short focus group was conducted to ask the men about their experience of the intervention. Analysis showed a significant increase in participants' willingness to intervene (p = 0.005) along with a decrease in rape myth acceptance in four of the five subscales (Justice p = 0.03; Status p = 0.004; Tactics p = 0.04; and Gender p = 0.002) after exposure to the intervention. Analysis of focus group material yielded several interesting themes about knowledge of rape, family and culture, perceptions of women, and the program material. This study showed promising change in attitudes about rape beliefs and bystander behaviors in Hispanic males exposed to an educational intervention. Through the information obtained, a cultural adaption from the analysis of the focus group data will be implemented during Phase 2 of the study. The adapted intervention will be tested before, after, and 1- and 3-months post-intervention to test whether the change in attitudes and behaviors are sustainable over time.","author":[{"dropping-particle":"","family":"Lawson","given":"S L","non-dropping-particle":"","parse-names":false,"suffix":""},{"dropping-particle":"","family":"Munoz-Rojas","given":"D","non-dropping-particle":"","parse-names":false,"suffix":""},{"dropping-particle":"","family":"Gutman","given":"L S","non-dropping-particle":"","parse-names":false,"suffix":""},{"dropping-particle":"","family":"Siman","given":"M N","non-dropping-particle":"","parse-names":false,"suffix":""}],"container-title":"Issues in Mental Health Nursing","id":"ITEM-2","issue":"12","issued":{"date-parts":[["2012"]]},"language":"English","note":"Lawson, Sarah Lynn Munoz-Rojas, Derby Gutman, Lauren Samantha Siman, Matilde Nathalia","page":"864-870","title":"Changing attitudes and perceptions of Hispanic men ages 18 to 25 about rape and rape prevention","type":"article-journal","volume":"33"},"uris":["http://www.mendeley.com/documents/?uuid=b2324ace-1b5b-3810-a8ad-1dc60a34e102"]}],"mendeley":{"formattedCitation":"(Langhinrichsen-Rohling et al., 2011; Lawson et al., 2012)","plainTextFormattedCitation":"(Langhinrichsen-Rohling et al., 2011; Lawson et al., 2012)","previouslyFormattedCitation":"(Langhinrichsen-Rohling et al., 2011; Lawson et al., 2012)"},"properties":{"noteIndex":0},"schema":"https://github.com/citation-style-language/schema/raw/master/csl-citation.json"}</w:instrText>
      </w:r>
      <w:r w:rsidR="006946D7">
        <w:rPr>
          <w:i/>
          <w:iCs/>
        </w:rPr>
        <w:fldChar w:fldCharType="separate"/>
      </w:r>
      <w:r w:rsidR="00046913" w:rsidRPr="00046913">
        <w:rPr>
          <w:iCs/>
          <w:noProof/>
        </w:rPr>
        <w:t>(Lang</w:t>
      </w:r>
      <w:r w:rsidR="00046913" w:rsidRPr="00101F1F">
        <w:rPr>
          <w:iCs/>
          <w:noProof/>
        </w:rPr>
        <w:t>hinrichsen-Roh</w:t>
      </w:r>
      <w:r w:rsidR="00046913" w:rsidRPr="00046913">
        <w:rPr>
          <w:iCs/>
          <w:noProof/>
        </w:rPr>
        <w:t>ling et al., 2011; Lawson et al., 2012)</w:t>
      </w:r>
      <w:r w:rsidR="006946D7">
        <w:rPr>
          <w:i/>
          <w:iCs/>
        </w:rPr>
        <w:fldChar w:fldCharType="end"/>
      </w:r>
      <w:r w:rsidR="006157F1">
        <w:rPr>
          <w:i/>
          <w:iCs/>
        </w:rPr>
        <w:t xml:space="preserve"> </w:t>
      </w:r>
      <w:r>
        <w:t xml:space="preserve">and </w:t>
      </w:r>
      <w:r w:rsidRPr="028605AC">
        <w:rPr>
          <w:i/>
          <w:iCs/>
        </w:rPr>
        <w:t xml:space="preserve">Bringing in the Bystander </w:t>
      </w:r>
      <w:r w:rsidR="00F352D0">
        <w:rPr>
          <w:i/>
          <w:iCs/>
        </w:rPr>
        <w:fldChar w:fldCharType="begin" w:fldLock="1"/>
      </w:r>
      <w:r w:rsidR="00817CD0">
        <w:rPr>
          <w:i/>
          <w:iCs/>
        </w:rPr>
        <w:instrText>ADDIN CSL_CITATION {"citationItems":[{"id":"ITEM-1","itemData":{"DOI":"10.1891/1946-6560.8.4.331","ISSN":"19466579","abstract":"Rates of sexual violence (SV) and dating violence (DV) are high on college campuses; federal law mandates colleges provide SV/DV prevention programming to incoming students. Programs showing the strongest empirical support are bystander programs; however, their small group format makes it impractical to use them with large student bodies. In a pilot feasibility study, we compared in-person and e-intervention SV/DV bystander intervention programs and randomly assigned 562 students to one of the programs. Students completed measures of knowledge and attitudes at 3 points over 6 months. Both groups changed significantly in the expected direction on all measures, with no differences between groups in change over time. Results suggest that e-interventions may be a viable alternative to in-person SV/DV programs for meeting federal mandates.","author":[{"dropping-particle":"","family":"Hines","given":"Denise A.","non-dropping-particle":"","parse-names":false,"suffix":""},{"dropping-particle":"","family":"Reed","given":"Kathleen M.Palm","non-dropping-particle":"","parse-names":false,"suffix":""}],"container-title":"Partner Abuse","id":"ITEM-1","issue":"4","issued":{"date-parts":[["2017"]]},"page":"331-346","publisher":"Springer Publishing Company","title":"Bystander prevention of sexual and dating violence: An experimental evaluation of online and in-person bystander intervention programs","type":"article-journal","volume":"8"},"uris":["http://www.mendeley.com/documents/?uuid=3035c1bf-dc15-392d-b90b-bf0cd68930bb"]},{"id":"ITEM-2","itemData":{"DOI":"10.1177/0886260516636069","ISSN":"0886-2605\r1552-6518","abstract":"Dating violence is a serious and prevalent public health problem that is associated with numerous negative physical and psychological health outcomes, and yet there has been limited evaluation of prevention programs on college campuses. A recent innovation in campus prevention focuses on mobilizing bystanders to take action. To date, bystander programs have mainly been compared with no treatment control groups raising questions about what value is added to dating violence prevention by focusing on bystanders. This study compared a single 90-min bystander education program for dating violence prevention with a traditional awareness education program, as well as with a no education control group. Using a quasi-experimental pre-test/post-test design with follow-up at 2 months, a sample of predominately freshmen college students was randomized to either the bystander (n = 369) or traditional awareness (n = 376) dating violence education program. A non-randomized control group of freshmen students who did not receive any education were also surveyed (n = 224). Students completed measures of attitudes, including rape myth acceptance, bystander efficacy, and intent to help as well as behavioral measures related to bystander action and victimization. Results showed that the bystander education program was more effective at changing attitudes, beliefs, efficacy, intentions, and self-reported behaviors compared with the traditional awareness education program. Both programs were significantly more effective than no education. The findings of this study have important implications for future dating violence prevention educational programming, emphasizing the value of bystander education programs for primary dating violence prevention among college students. (PsycINFO Database Record (c) 2018 APA, all rights reserved)","author":[{"dropping-particle":"","family":"Peterson","given":"Kerry","non-dropping-particle":"","parse-names":false,"suffix":""},{"dropping-particle":"","family":"Sharps","given":"Phyllis","non-dropping-particle":"","parse-names":false,"suffix":""},{"dropping-particle":"","family":"Banyard","given":"Victoria L.","non-dropping-particle":"","parse-names":false,"suffix":""},{"dropping-particle":"","family":"Powers","given":"Rachael A","non-dropping-particle":"","parse-names":false,"suffix":""},{"dropping-particle":"","family":"Kaukinen","given":"Catherine","non-dropping-particle":"","parse-names":false,"suffix":""},{"dropping-particle":"","family":"Gross","given":"Deborah","non-dropping-particle":"","parse-names":false,"suffix":""},{"dropping-particle":"","family":"Decker","given":"Michele R","non-dropping-particle":"","parse-names":false,"suffix":""},{"dropping-particle":"","family":"Baatz","given":"Carrie","non-dropping-particle":"","parse-names":false,"suffix":""},{"dropping-particle":"","family":"Campbell","given":"Jacquelyn C","non-dropping-particle":"","parse-names":false,"suffix":""}],"container-title":"Journal of interpersonal violence","id":"ITEM-2","issue":"23","issued":{"date-parts":[["2018"]]},"language":"English","page":"3630-3655","title":"An evaluation of two dating violence prevention programs on a college campus","type":"article-journal","volume":"33"},"uris":["http://www.mendeley.com/documents/?uuid=53f5f943-5fda-3d23-9341-524e61cd11c4"]}],"mendeley":{"formattedCitation":"(Hines &amp; Reed, 2017; Peterson et al., 2018)","plainTextFormattedCitation":"(Hines &amp; Reed, 2017; Peterson et al., 2018)","previouslyFormattedCitation":"(Hines &amp; Reed, 2017; Peterson et al., 2018)"},"properties":{"noteIndex":0},"schema":"https://github.com/citation-style-language/schema/raw/master/csl-citation.json"}</w:instrText>
      </w:r>
      <w:r w:rsidR="00F352D0">
        <w:rPr>
          <w:i/>
          <w:iCs/>
        </w:rPr>
        <w:fldChar w:fldCharType="separate"/>
      </w:r>
      <w:r w:rsidR="00E86704" w:rsidRPr="00E86704">
        <w:rPr>
          <w:iCs/>
          <w:noProof/>
        </w:rPr>
        <w:t>(Hines &amp; Reed, 2017; Peterson et al., 2018)</w:t>
      </w:r>
      <w:r w:rsidR="00F352D0">
        <w:rPr>
          <w:i/>
          <w:iCs/>
        </w:rPr>
        <w:fldChar w:fldCharType="end"/>
      </w:r>
      <w:r w:rsidR="00F352D0">
        <w:rPr>
          <w:i/>
          <w:iCs/>
        </w:rPr>
        <w:t xml:space="preserve"> </w:t>
      </w:r>
      <w:r>
        <w:t xml:space="preserve">have shown promise. </w:t>
      </w:r>
      <w:r w:rsidRPr="028605AC">
        <w:rPr>
          <w:rFonts w:ascii="Roboto-Regular" w:hAnsi="Roboto-Regular" w:cs="Roboto-Regular"/>
          <w:i/>
          <w:iCs/>
          <w:lang w:eastAsia="ja-JP"/>
        </w:rPr>
        <w:t xml:space="preserve">The Men’s Program </w:t>
      </w:r>
      <w:r w:rsidRPr="028605AC">
        <w:rPr>
          <w:rFonts w:ascii="Roboto-Regular" w:hAnsi="Roboto-Regular" w:cs="Roboto-Regular"/>
          <w:lang w:eastAsia="ja-JP"/>
        </w:rPr>
        <w:t>has been evaluated across a range of USA locations (university, workplace</w:t>
      </w:r>
      <w:r w:rsidR="00D4516E">
        <w:rPr>
          <w:rFonts w:ascii="Roboto-Regular" w:hAnsi="Roboto-Regular" w:cs="Roboto-Regular"/>
          <w:lang w:eastAsia="ja-JP"/>
        </w:rPr>
        <w:t>–</w:t>
      </w:r>
      <w:r w:rsidRPr="028605AC">
        <w:rPr>
          <w:rFonts w:ascii="Roboto-Regular" w:hAnsi="Roboto-Regular" w:cs="Roboto-Regular"/>
          <w:lang w:eastAsia="ja-JP"/>
        </w:rPr>
        <w:t>military) and</w:t>
      </w:r>
      <w:r w:rsidRPr="028605AC">
        <w:rPr>
          <w:rFonts w:ascii="Roboto-Regular" w:hAnsi="Roboto-Regular" w:cs="Roboto-Regular"/>
          <w:i/>
          <w:iCs/>
          <w:lang w:eastAsia="ja-JP"/>
        </w:rPr>
        <w:t xml:space="preserve"> </w:t>
      </w:r>
      <w:r w:rsidRPr="028605AC">
        <w:rPr>
          <w:rFonts w:ascii="Roboto-Regular" w:hAnsi="Roboto-Regular" w:cs="Roboto-Regular"/>
          <w:lang w:eastAsia="ja-JP"/>
        </w:rPr>
        <w:t xml:space="preserve">cultural groups (Lawson et al., 2012) and aims to increase bystander activity and reduce men’s defensiveness through men engaging with other men to discuss rape-supportive behaviours and beliefs. Similarly, </w:t>
      </w:r>
      <w:r w:rsidRPr="028605AC">
        <w:rPr>
          <w:rFonts w:ascii="Roboto-Regular" w:hAnsi="Roboto-Regular" w:cs="Roboto-Regular"/>
          <w:i/>
          <w:iCs/>
          <w:lang w:eastAsia="ja-JP"/>
        </w:rPr>
        <w:t>Bringing in the Bystander</w:t>
      </w:r>
      <w:r w:rsidRPr="028605AC">
        <w:rPr>
          <w:rFonts w:ascii="Roboto-Regular" w:hAnsi="Roboto-Regular" w:cs="Roboto-Regular"/>
          <w:lang w:eastAsia="ja-JP"/>
        </w:rPr>
        <w:t xml:space="preserve"> </w:t>
      </w:r>
      <w:r w:rsidR="00817CD0">
        <w:rPr>
          <w:rFonts w:ascii="Roboto-Regular" w:hAnsi="Roboto-Regular" w:cs="Roboto-Regular"/>
          <w:lang w:eastAsia="ja-JP"/>
        </w:rPr>
        <w:fldChar w:fldCharType="begin" w:fldLock="1"/>
      </w:r>
      <w:r w:rsidR="00C03231">
        <w:rPr>
          <w:rFonts w:ascii="Roboto-Regular" w:hAnsi="Roboto-Regular" w:cs="Roboto-Regular"/>
          <w:lang w:eastAsia="ja-JP"/>
        </w:rPr>
        <w:instrText>ADDIN CSL_CITATION {"citationItems":[{"id":"ITEM-1","itemData":{"DOI":"10.1891/0886-6708.VV-D-18-00046","ISSN":"08866708","PMID":"136841425","abstract":"Although sexual assault (SA) prevention programs on college campuses are increasingly prevalent, no studies explore the influence of program components on outcomes. Empathy exercises are frequently included in such programs, with the intent of changing participant emotions and attitudes in order to change subsequent behavior. This study evaluated whether the inclusion of an empathy exercise within a SA prevention program impacted participants' emotions and attitudes, and subsequent helping behaviors in SA bystander situations. Three-hundred and seventy students (63% women) participated in an evaluation of a mandatory bystander intervention program; half the students received the program containing an empathy exercise and half received the program that did not. For women only, participation in the program with the empathy exercise led to more negative emotions and fewer attitudes condoning SA, the latter of which influenced greater prosocial bystander behaviors 6 months later. [ABSTRACT FROM AUTHOR]\rCopyright of Violence &amp; Victims is the property of Springer Publishing Company, Inc.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Abstracts.)","author":[{"dropping-particle":"","family":"Hines","given":"Denise A","non-dropping-particle":"","parse-names":false,"suffix":""},{"dropping-particle":"","family":"Bishop","given":"Lia R S","non-dropping-particle":"","parse-names":false,"suffix":""},{"dropping-particle":"","family":"Palm Reed","given":"Kathleen M","non-dropping-particle":"","parse-names":false,"suffix":""}],"container-title":"Violence &amp; Victims","id":"ITEM-1","issue":"3","issued":{"date-parts":[["2019"]]},"note":"Hines, Denise A. 1; Bishop, Lia R. S. 1; Palm Reed, Kathleen M. 1; Affiliations: 1 : Clark University, Department of Psychology, Worcester, MA; Source Info: 2019, Vol. 34 Issue 3, p397; Thesaurus Term: Prevention of sexual assault; Thesaurus Term: Empathy; Thesaurus Term: College student attitudes; Thesaurus Term: Bystander involvement; Thesaurus Term: Prosocial behavior; Subject Term: College campuses; Author-Supplied Keyword: bystander intervention; Author-Supplied Keyword: empathy; Author-Supplied Keyword: prevention; Author-Supplied Keyword: sexual assault; Number of Pages: 17p; Document Type: journal article; Full Text Word Count: 9308","page":"397-413","title":"Differential gender responses to an empathy component of a sexual assault prevention program","type":"article-journal","volume":"34"},"uris":["http://www.mendeley.com/documents/?uuid=b1b33264-eba9-3767-9891-7b124a6e393c"]},{"id":"ITEM-2","itemData":{"DOI":"10.5964/jspp.v6i2.971","ISSN":"21953325","abstract":"To address sexual assault, many universities are implementing Bringing in the Bystander™ (BitB) training, a prevention program that aims to improve participants’ bystander self-efficacy and reduce rape myth acceptance. Although growing evidence supports the efficacy of BitB, data primarily have been amassed at one large public university, the University of New Hampshire, limiting the generalizability of intervention effectiveness. To address this gap, we made modifications to training structure and assessed BitB effectiveness among first-year students at a private Jesuit Catholic liberal arts college in Massachusetts. Using a within-subjects pre-/post-test survey design, we found that students’ (N = 164) bystander self-efficacy significantly increased and rape myth acceptance significantly decreased following training. Results indicate that BitB implementation is feasible and effective on a new campus despite modest modifications to training delivery and despite differences in religious affiliation, median income, and class size between the two campuses.","author":[{"dropping-particle":"","family":"Inman","given":"Elizabeth M","non-dropping-particle":"","parse-names":false,"suffix":""},{"dropping-particle":"","family":"Chaudoir","given":"Stephenie R","non-dropping-particle":"","parse-names":false,"suffix":""},{"dropping-particle":"","family":"Galvinhill","given":"Paul R","non-dropping-particle":"","parse-names":false,"suffix":""},{"dropping-particle":"","family":"Sheehy","given":"Ann M","non-dropping-particle":"","parse-names":false,"suffix":""}],"container-title":"Journal of Social and Political Psychology","id":"ITEM-2","issue":"2","issued":{"date-parts":[["2018"]]},"language":"English","page":"511-525","title":"The effectiveness of the bringing in the bystander™ program among first-year students at a religiously-affiliated liberal arts college","type":"article-journal","volume":"6"},"uris":["http://www.mendeley.com/documents/?uuid=0daf4b3a-93c3-319e-8b1c-1534b6b81a77"]},{"id":"ITEM-3","itemData":{"DOI":"10.1037/a0037557","ISSN":"2152-0828\r2152-081X","abstract":"Objective: Emerging evidence suggests that bystander prevention programs are promising interventions for decreasing sexual violence (SV) and dating violence (DV) on college campuses, yet there have been no experimental evaluations to date comparing such programs with other programs. The objective of the current study was to test whether a bystander program was better than a traditional psychoeducation violence prevention program. Method: We present an exploratory experimental evaluation of a bystander prevention program compared with a traditional psychoeducation program. Results: Both programs improved rape myth acceptance and knowledge scores. There was also a trend suggesting the bystander group improved in bystander efficacy over time, with a slight decrease in bystander efficacy for the traditional psychoeducation group. Conclusions: Current findings suggest that the modified bystander program may be an effective prevention program; however, it is unclear whether it is superior to other approaches. (PsycINFO Database Record (c) 2019 APA, all rights reserved)","author":[{"dropping-particle":"","family":"Palm Reed","given":"Kathleen M","non-dropping-particle":"","parse-names":false,"suffix":""},{"dropping-particle":"","family":"Hines","given":"Denise A","non-dropping-particle":"","parse-names":false,"suffix":""},{"dropping-particle":"","family":"Armstrong","given":"Jessica L","non-dropping-particle":"","parse-names":false,"suffix":""},{"dropping-particle":"","family":"Cameron","given":"Amy Y","non-dropping-particle":"","parse-names":false,"suffix":""}],"container-title":"Psychology of Violence","id":"ITEM-3","issue":"1","issued":{"date-parts":[["2015"]]},"language":"English","page":"95-102","title":"Experimental evaluation of a bystander prevention program for sexual assault and dating violence","type":"article-journal","volume":"5"},"uris":["http://www.mendeley.com/documents/?uuid=cb9ecf13-6ab9-3451-b18c-6b540833b37f"]}],"mendeley":{"formattedCitation":"(Hines et al., 2019; Inman et al., 2018; Palm Reed et al., 2015)","plainTextFormattedCitation":"(Hines et al., 2019; Inman et al., 2018; Palm Reed et al., 2015)","previouslyFormattedCitation":"(Hines et al., 2019; Inman et al., 2018; Palm Reed et al., 2015)"},"properties":{"noteIndex":0},"schema":"https://github.com/citation-style-language/schema/raw/master/csl-citation.json"}</w:instrText>
      </w:r>
      <w:r w:rsidR="00817CD0">
        <w:rPr>
          <w:rFonts w:ascii="Roboto-Regular" w:hAnsi="Roboto-Regular" w:cs="Roboto-Regular"/>
          <w:lang w:eastAsia="ja-JP"/>
        </w:rPr>
        <w:fldChar w:fldCharType="separate"/>
      </w:r>
      <w:r w:rsidR="007E245C" w:rsidRPr="007E245C">
        <w:rPr>
          <w:rFonts w:ascii="Roboto-Regular" w:hAnsi="Roboto-Regular" w:cs="Roboto-Regular"/>
          <w:noProof/>
          <w:lang w:eastAsia="ja-JP"/>
        </w:rPr>
        <w:t>(Hines et al., 2019; Inman et al., 2018; Palm Reed et al., 2015)</w:t>
      </w:r>
      <w:r w:rsidR="00817CD0">
        <w:rPr>
          <w:rFonts w:ascii="Roboto-Regular" w:hAnsi="Roboto-Regular" w:cs="Roboto-Regular"/>
          <w:lang w:eastAsia="ja-JP"/>
        </w:rPr>
        <w:fldChar w:fldCharType="end"/>
      </w:r>
      <w:r w:rsidR="007E245C">
        <w:rPr>
          <w:rFonts w:ascii="Roboto-Regular" w:hAnsi="Roboto-Regular" w:cs="Roboto-Regular"/>
          <w:lang w:eastAsia="ja-JP"/>
        </w:rPr>
        <w:t xml:space="preserve"> </w:t>
      </w:r>
      <w:r w:rsidRPr="028605AC">
        <w:rPr>
          <w:rFonts w:ascii="Roboto-Regular" w:hAnsi="Roboto-Regular" w:cs="Roboto-Regular"/>
          <w:lang w:eastAsia="ja-JP"/>
        </w:rPr>
        <w:t xml:space="preserve">encourages effective bystander </w:t>
      </w:r>
      <w:r w:rsidRPr="028605AC">
        <w:rPr>
          <w:rFonts w:ascii="Roboto-Regular" w:hAnsi="Roboto-Regular" w:cs="Roboto-Regular"/>
          <w:lang w:eastAsia="ja-JP"/>
        </w:rPr>
        <w:lastRenderedPageBreak/>
        <w:t>behaviour, teaches participants about rape myths and structural inequalities</w:t>
      </w:r>
      <w:r w:rsidR="00EC2146">
        <w:rPr>
          <w:rFonts w:ascii="Roboto-Regular" w:hAnsi="Roboto-Regular" w:cs="Roboto-Regular"/>
          <w:lang w:eastAsia="ja-JP"/>
        </w:rPr>
        <w:t>,</w:t>
      </w:r>
      <w:r w:rsidRPr="028605AC">
        <w:rPr>
          <w:rFonts w:ascii="Roboto-Regular" w:hAnsi="Roboto-Regular" w:cs="Roboto-Regular"/>
          <w:lang w:eastAsia="ja-JP"/>
        </w:rPr>
        <w:t xml:space="preserve"> and has shown to be LGBTQ inclusive.</w:t>
      </w:r>
    </w:p>
    <w:p w14:paraId="5B8A8B54" w14:textId="7EF135B7" w:rsidR="007022CC" w:rsidRPr="00716989" w:rsidRDefault="007022CC" w:rsidP="00B60AD0">
      <w:pPr>
        <w:pStyle w:val="LTU-Body10pt"/>
        <w:rPr>
          <w:rFonts w:ascii="Roboto-Regular" w:hAnsi="Roboto-Regular" w:cs="Roboto-Regular"/>
          <w:lang w:eastAsia="ja-JP"/>
        </w:rPr>
      </w:pPr>
      <w:r w:rsidRPr="028605AC">
        <w:rPr>
          <w:rFonts w:ascii="Roboto-Regular" w:hAnsi="Roboto-Regular" w:cs="Roboto-Regular"/>
          <w:lang w:eastAsia="ja-JP"/>
        </w:rPr>
        <w:t>From the evidence review, school</w:t>
      </w:r>
      <w:r w:rsidR="00D4516E">
        <w:rPr>
          <w:rFonts w:ascii="Roboto-Regular" w:hAnsi="Roboto-Regular" w:cs="Roboto-Regular"/>
          <w:lang w:eastAsia="ja-JP"/>
        </w:rPr>
        <w:t>-</w:t>
      </w:r>
      <w:r w:rsidRPr="028605AC">
        <w:rPr>
          <w:rFonts w:ascii="Roboto-Regular" w:hAnsi="Roboto-Regular" w:cs="Roboto-Regular"/>
          <w:lang w:eastAsia="ja-JP"/>
        </w:rPr>
        <w:t xml:space="preserve"> and university</w:t>
      </w:r>
      <w:r w:rsidR="00D4516E">
        <w:rPr>
          <w:rFonts w:ascii="Roboto-Regular" w:hAnsi="Roboto-Regular" w:cs="Roboto-Regular"/>
          <w:lang w:eastAsia="ja-JP"/>
        </w:rPr>
        <w:t>-</w:t>
      </w:r>
      <w:r w:rsidRPr="028605AC">
        <w:rPr>
          <w:rFonts w:ascii="Roboto-Regular" w:hAnsi="Roboto-Regular" w:cs="Roboto-Regular"/>
          <w:lang w:eastAsia="ja-JP"/>
        </w:rPr>
        <w:t>based social marketing campaigns have reported promising</w:t>
      </w:r>
      <w:r w:rsidR="007E245C">
        <w:rPr>
          <w:rFonts w:ascii="Roboto-Regular" w:hAnsi="Roboto-Regular" w:cs="Roboto-Regular"/>
          <w:lang w:eastAsia="ja-JP"/>
        </w:rPr>
        <w:t xml:space="preserve"> </w:t>
      </w:r>
      <w:r w:rsidR="007E245C">
        <w:rPr>
          <w:rFonts w:ascii="Roboto-Regular" w:hAnsi="Roboto-Regular" w:cs="Roboto-Regular"/>
          <w:lang w:eastAsia="ja-JP"/>
        </w:rPr>
        <w:fldChar w:fldCharType="begin" w:fldLock="1"/>
      </w:r>
      <w:r w:rsidR="007E245C">
        <w:rPr>
          <w:rFonts w:ascii="Roboto-Regular" w:hAnsi="Roboto-Regular" w:cs="Roboto-Regular"/>
          <w:lang w:eastAsia="ja-JP"/>
        </w:rPr>
        <w:instrText>ADDIN CSL_CITATION {"citationItems":[{"id":"ITEM-1","itemData":{"DOI":"10.1177/0886260518780411","ISSN":"0886-2605","abstract":"The article evaluates the effectiveness of a 5-year social norms sexual violence prevention marketing campaign designed specifically for men on a large public university in the Southeastern United States. From 2010 through 2014, 4,158 men were asked about their self-reported attitudes, beliefs, and behavior related to sexual violence as well as their perception of their peers’ attitudes, beliefs, and behaviors. Using social norms theory, a social norms marketing campaign was developed to target highly discrepant attitudes, beliefs, and behaviors. Results indicate that both self-reported and perception of peer attitudes and beliefs improved over time, and the discrepancy between the two reduced over time. In addition, the frequency of positive and prosocial self-reported behavior increased on five of the six indicators. This study represents a significant contribution to the literature, as it uses 5 years of data and includes behavioral indicators to add evidence for the efficacy of targeting misperceptions of social norms as a mechanism to engage men in gender-based violence prevention. © 2018, The Author(s) 2018.","author":[{"dropping-particle":"","family":"Mennicke","given":"Annelise","non-dropping-particle":"","parse-names":false,"suffix":""},{"dropping-particle":"","family":"Kennedy","given":"Stephanie C","non-dropping-particle":"","parse-names":false,"suffix":""},{"dropping-particle":"","family":"Gromer","given":"Jill","non-dropping-particle":"","parse-names":false,"suffix":""},{"dropping-particle":"","family":"Klem-O’Connor","given":"Mara","non-dropping-particle":"","parse-names":false,"suffix":""}],"container-title":"Journal of Interpersonal Violence","id":"ITEM-1","issued":{"date-parts":[["2018"]]},"note":"From Duplicate 1 (Evaluation of a Social Norms Sexual Violence Prevention Marketing Campaign Targeted Toward College Men: Attitudes, Beliefs, and Behaviors Over 5 Years - Mennicke, A; Kennedy, S C; Gromer, J; Klem-O’Connor, M)\n\nCited By :4\nExport Date: 27 June 2020\nArticle in Press","title":"Evaluation of a Social Norms Sexual Violence Prevention Marketing Campaign Targeted Toward College Men: Attitudes, Beliefs, and Behaviors Over 5 Years","type":"article-journal"},"uris":["http://www.mendeley.com/documents/?uuid=f6256a46-be59-44dc-9b0f-748bda29656e"]}],"mendeley":{"formattedCitation":"(Mennicke et al., 2018)","plainTextFormattedCitation":"(Mennicke et al., 2018)","previouslyFormattedCitation":"(Mennicke et al., 2018)"},"properties":{"noteIndex":0},"schema":"https://github.com/citation-style-language/schema/raw/master/csl-citation.json"}</w:instrText>
      </w:r>
      <w:r w:rsidR="007E245C">
        <w:rPr>
          <w:rFonts w:ascii="Roboto-Regular" w:hAnsi="Roboto-Regular" w:cs="Roboto-Regular"/>
          <w:lang w:eastAsia="ja-JP"/>
        </w:rPr>
        <w:fldChar w:fldCharType="separate"/>
      </w:r>
      <w:r w:rsidR="007E245C" w:rsidRPr="007E245C">
        <w:rPr>
          <w:rFonts w:ascii="Roboto-Regular" w:hAnsi="Roboto-Regular" w:cs="Roboto-Regular"/>
          <w:noProof/>
          <w:lang w:eastAsia="ja-JP"/>
        </w:rPr>
        <w:t>(Mennicke et al., 2018)</w:t>
      </w:r>
      <w:r w:rsidR="007E245C">
        <w:rPr>
          <w:rFonts w:ascii="Roboto-Regular" w:hAnsi="Roboto-Regular" w:cs="Roboto-Regular"/>
          <w:lang w:eastAsia="ja-JP"/>
        </w:rPr>
        <w:fldChar w:fldCharType="end"/>
      </w:r>
      <w:r w:rsidRPr="028605AC">
        <w:rPr>
          <w:rFonts w:ascii="Roboto-Regular" w:hAnsi="Roboto-Regular" w:cs="Roboto-Regular"/>
          <w:lang w:eastAsia="ja-JP"/>
        </w:rPr>
        <w:t xml:space="preserve"> but sometimes conflicting results. Broadening the approach to combine promising interventions</w:t>
      </w:r>
      <w:r w:rsidR="00EC2146">
        <w:rPr>
          <w:rFonts w:ascii="Roboto-Regular" w:hAnsi="Roboto-Regular" w:cs="Roboto-Regular"/>
          <w:lang w:eastAsia="ja-JP"/>
        </w:rPr>
        <w:t>,</w:t>
      </w:r>
      <w:r w:rsidRPr="028605AC">
        <w:rPr>
          <w:rFonts w:ascii="Roboto-Regular" w:hAnsi="Roboto-Regular" w:cs="Roboto-Regular"/>
          <w:lang w:eastAsia="ja-JP"/>
        </w:rPr>
        <w:t xml:space="preserve"> </w:t>
      </w:r>
      <w:r w:rsidR="00D4516E">
        <w:rPr>
          <w:rFonts w:ascii="Roboto-Regular" w:hAnsi="Roboto-Regular" w:cs="Roboto-Regular"/>
          <w:lang w:eastAsia="ja-JP"/>
        </w:rPr>
        <w:t>such as</w:t>
      </w:r>
      <w:r w:rsidR="00D4516E" w:rsidRPr="028605AC">
        <w:rPr>
          <w:rFonts w:ascii="Roboto-Regular" w:hAnsi="Roboto-Regular" w:cs="Roboto-Regular"/>
          <w:lang w:eastAsia="ja-JP"/>
        </w:rPr>
        <w:t xml:space="preserve"> </w:t>
      </w:r>
      <w:r w:rsidRPr="028605AC">
        <w:rPr>
          <w:rFonts w:ascii="Roboto-Regular" w:hAnsi="Roboto-Regular" w:cs="Roboto-Regular"/>
          <w:lang w:eastAsia="ja-JP"/>
        </w:rPr>
        <w:t>bystander programs with sustained social marketing strategies, may improve program effectiveness and participant outcomes</w:t>
      </w:r>
      <w:r w:rsidR="007E245C">
        <w:rPr>
          <w:rFonts w:ascii="Roboto-Regular" w:hAnsi="Roboto-Regular" w:cs="Roboto-Regular"/>
          <w:lang w:eastAsia="ja-JP"/>
        </w:rPr>
        <w:t xml:space="preserve"> </w:t>
      </w:r>
      <w:r w:rsidR="007E245C">
        <w:rPr>
          <w:rFonts w:ascii="Roboto-Regular" w:hAnsi="Roboto-Regular" w:cs="Roboto-Regular"/>
          <w:lang w:eastAsia="ja-JP"/>
        </w:rPr>
        <w:fldChar w:fldCharType="begin" w:fldLock="1"/>
      </w:r>
      <w:r w:rsidR="00082EEB">
        <w:rPr>
          <w:rFonts w:ascii="Roboto-Regular" w:hAnsi="Roboto-Regular" w:cs="Roboto-Regular"/>
          <w:lang w:eastAsia="ja-JP"/>
        </w:rPr>
        <w:instrText>ADDIN CSL_CITATION {"citationItems":[{"id":"ITEM-1","itemData":{"DOI":"10.1891/0886-6708.VV-D-16-00074","ISSN":"0886-6708","PMID":"30567766","abstract":"Violence against women students is increasingly recognized as a significant public health and human rights issue. The Intervention Initiative is a facilitated bystander intervention educational program commissioned by Public Health England for use by all English universities to prevent violence, abuse, and coercion. The success of the program with first-year law students at a large university in the South West of England was evaluated through course evaluation feedback and in a questionnaire study. Student experience was exceptionally good across all measures. In paired sample t tests, prosocial bystander behavior did not increase significantly from pretest to post-test immediately after taking part in the program. Rape myth acceptance, domestic abuse myth acceptance, and denial decreased significantly (p &lt; .001; d &gt; .599). Bystander efficacy, readiness to help, and responsibility increased significantly (p &lt; .001; d = .408-.703), and intent to help increased significantly (p = .007, d = .248). Exposure to a concurrent social marketing campaign on campus had a significant strengthening effect on improvement of attitudes to rape myths (p = .010) but not any other outcome measures. No significant backlash was identified.","author":[{"dropping-particle":"","family":"Fenton","given":"R A","non-dropping-particle":"","parse-names":false,"suffix":""},{"dropping-particle":"","family":"Mott","given":"H L","non-dropping-particle":"","parse-names":false,"suffix":""}],"container-title":"Violence &amp; Victims","id":"ITEM-1","issue":"4","issued":{"date-parts":[["2018"]]},"language":"English","note":"Fenton, Rachel A Mott, Helen L","page":"645-662","title":"Evaluation of the intervention initiative: A bystander intervention program to prevent violence against women in universities","type":"article-journal","volume":"33"},"uris":["http://www.mendeley.com/documents/?uuid=6720595e-fb2a-30a5-a31d-aca7b5e16381"]}],"mendeley":{"formattedCitation":"(Fenton &amp; Mott, 2018)","plainTextFormattedCitation":"(Fenton &amp; Mott, 2018)","previouslyFormattedCitation":"(Fenton &amp; Mott, 2018)"},"properties":{"noteIndex":0},"schema":"https://github.com/citation-style-language/schema/raw/master/csl-citation.json"}</w:instrText>
      </w:r>
      <w:r w:rsidR="007E245C">
        <w:rPr>
          <w:rFonts w:ascii="Roboto-Regular" w:hAnsi="Roboto-Regular" w:cs="Roboto-Regular"/>
          <w:lang w:eastAsia="ja-JP"/>
        </w:rPr>
        <w:fldChar w:fldCharType="separate"/>
      </w:r>
      <w:r w:rsidR="007E245C" w:rsidRPr="007E245C">
        <w:rPr>
          <w:rFonts w:ascii="Roboto-Regular" w:hAnsi="Roboto-Regular" w:cs="Roboto-Regular"/>
          <w:noProof/>
          <w:lang w:eastAsia="ja-JP"/>
        </w:rPr>
        <w:t>(Fenton &amp; Mott, 2018)</w:t>
      </w:r>
      <w:r w:rsidR="007E245C">
        <w:rPr>
          <w:rFonts w:ascii="Roboto-Regular" w:hAnsi="Roboto-Regular" w:cs="Roboto-Regular"/>
          <w:lang w:eastAsia="ja-JP"/>
        </w:rPr>
        <w:fldChar w:fldCharType="end"/>
      </w:r>
      <w:r w:rsidRPr="028605AC">
        <w:rPr>
          <w:rFonts w:ascii="Roboto-Regular" w:hAnsi="Roboto-Regular" w:cs="Roboto-Regular"/>
          <w:lang w:eastAsia="ja-JP"/>
        </w:rPr>
        <w:t xml:space="preserve">. The Our Watch </w:t>
      </w:r>
      <w:r w:rsidR="007E245C">
        <w:rPr>
          <w:rFonts w:ascii="Roboto-Regular" w:hAnsi="Roboto-Regular" w:cs="Roboto-Regular"/>
          <w:lang w:eastAsia="ja-JP"/>
        </w:rPr>
        <w:fldChar w:fldCharType="begin" w:fldLock="1"/>
      </w:r>
      <w:r w:rsidR="00A74157">
        <w:rPr>
          <w:rFonts w:ascii="Roboto-Regular" w:hAnsi="Roboto-Regular" w:cs="Roboto-Regular"/>
          <w:lang w:eastAsia="ja-JP"/>
        </w:rPr>
        <w:instrText>ADDIN CSL_CITATION {"citationItems":[{"id":"ITEM-1","itemData":{"author":[{"dropping-particle":"","family":"Our Watch","given":"","non-dropping-particle":"","parse-names":false,"suffix":""}],"id":"ITEM-1","issued":{"date-parts":[["2017"]]},"publisher":"Our Watch","publisher-place":"Melbourne","title":"Tracking change: Snapshot evaluation findings for The Line campaign 2015 to 2017","type":"report"},"suppress-author":1,"uris":["http://www.mendeley.com/documents/?uuid=653c27dc-eb49-3a64-baa1-77fc9c33a734"]}],"mendeley":{"formattedCitation":"(2017)","plainTextFormattedCitation":"(2017)","previouslyFormattedCitation":"(2017)"},"properties":{"noteIndex":0},"schema":"https://github.com/citation-style-language/schema/raw/master/csl-citation.json"}</w:instrText>
      </w:r>
      <w:r w:rsidR="007E245C">
        <w:rPr>
          <w:rFonts w:ascii="Roboto-Regular" w:hAnsi="Roboto-Regular" w:cs="Roboto-Regular"/>
          <w:lang w:eastAsia="ja-JP"/>
        </w:rPr>
        <w:fldChar w:fldCharType="separate"/>
      </w:r>
      <w:r w:rsidR="007E245C" w:rsidRPr="007E245C">
        <w:rPr>
          <w:rFonts w:ascii="Roboto-Regular" w:hAnsi="Roboto-Regular" w:cs="Roboto-Regular"/>
          <w:noProof/>
          <w:lang w:eastAsia="ja-JP"/>
        </w:rPr>
        <w:t>(2017)</w:t>
      </w:r>
      <w:r w:rsidR="007E245C">
        <w:rPr>
          <w:rFonts w:ascii="Roboto-Regular" w:hAnsi="Roboto-Regular" w:cs="Roboto-Regular"/>
          <w:lang w:eastAsia="ja-JP"/>
        </w:rPr>
        <w:fldChar w:fldCharType="end"/>
      </w:r>
      <w:r w:rsidR="007E245C">
        <w:rPr>
          <w:rFonts w:ascii="Roboto-Regular" w:hAnsi="Roboto-Regular" w:cs="Roboto-Regular"/>
          <w:lang w:eastAsia="ja-JP"/>
        </w:rPr>
        <w:t xml:space="preserve"> </w:t>
      </w:r>
      <w:r w:rsidRPr="028605AC">
        <w:rPr>
          <w:rFonts w:ascii="Roboto-Regular" w:hAnsi="Roboto-Regular" w:cs="Roboto-Regular"/>
          <w:lang w:eastAsia="ja-JP"/>
        </w:rPr>
        <w:t>campaign</w:t>
      </w:r>
      <w:r w:rsidR="007E245C">
        <w:rPr>
          <w:rFonts w:ascii="Roboto-Regular" w:hAnsi="Roboto-Regular" w:cs="Roboto-Regular"/>
          <w:lang w:eastAsia="ja-JP"/>
        </w:rPr>
        <w:t xml:space="preserve"> </w:t>
      </w:r>
      <w:r w:rsidR="004C56F1">
        <w:rPr>
          <w:rFonts w:eastAsia="Times New Roman" w:cstheme="minorHAnsi"/>
          <w:color w:val="000000"/>
          <w:lang w:eastAsia="en-AU" w:bidi="en-US"/>
        </w:rPr>
        <w:t>–</w:t>
      </w:r>
      <w:r w:rsidR="007E245C">
        <w:rPr>
          <w:rFonts w:ascii="Roboto-Regular" w:hAnsi="Roboto-Regular" w:cs="Roboto-Regular"/>
          <w:lang w:eastAsia="ja-JP"/>
        </w:rPr>
        <w:t xml:space="preserve"> </w:t>
      </w:r>
      <w:r w:rsidRPr="028605AC">
        <w:rPr>
          <w:rFonts w:ascii="Roboto-Regular" w:hAnsi="Roboto-Regular" w:cs="Roboto-Regular"/>
          <w:i/>
          <w:iCs/>
          <w:lang w:eastAsia="ja-JP"/>
        </w:rPr>
        <w:t xml:space="preserve">The Line </w:t>
      </w:r>
      <w:r w:rsidRPr="028605AC">
        <w:rPr>
          <w:rFonts w:ascii="Roboto-Regular" w:hAnsi="Roboto-Regular" w:cs="Roboto-Regular"/>
          <w:lang w:eastAsia="ja-JP"/>
        </w:rPr>
        <w:t xml:space="preserve">targeted young people and the development of healthy, respectful peer and intimate relationships and covered topics like attitudes on consent, equality and gender roles. Parents </w:t>
      </w:r>
      <w:r w:rsidR="00C6381F">
        <w:rPr>
          <w:rFonts w:ascii="Roboto-Regular" w:hAnsi="Roboto-Regular" w:cs="Roboto-Regular"/>
          <w:lang w:eastAsia="ja-JP"/>
        </w:rPr>
        <w:t xml:space="preserve">and caregivers </w:t>
      </w:r>
      <w:r w:rsidRPr="028605AC">
        <w:rPr>
          <w:rFonts w:ascii="Roboto-Regular" w:hAnsi="Roboto-Regular" w:cs="Roboto-Regular"/>
          <w:lang w:eastAsia="ja-JP"/>
        </w:rPr>
        <w:t>reported greater confidence to discuss topics with children</w:t>
      </w:r>
      <w:r w:rsidR="00000D98">
        <w:rPr>
          <w:rFonts w:ascii="Roboto-Regular" w:hAnsi="Roboto-Regular" w:cs="Roboto-Regular"/>
          <w:lang w:eastAsia="ja-JP"/>
        </w:rPr>
        <w:t>;</w:t>
      </w:r>
      <w:r w:rsidRPr="028605AC">
        <w:rPr>
          <w:rFonts w:ascii="Roboto-Regular" w:hAnsi="Roboto-Regular" w:cs="Roboto-Regular"/>
          <w:lang w:eastAsia="ja-JP"/>
        </w:rPr>
        <w:t xml:space="preserve"> while some positive changes were noted, results varied and some effects were not sustained</w:t>
      </w:r>
      <w:r w:rsidR="00CE3847">
        <w:rPr>
          <w:rFonts w:ascii="Roboto-Regular" w:hAnsi="Roboto-Regular" w:cs="Roboto-Regular"/>
          <w:lang w:eastAsia="ja-JP"/>
        </w:rPr>
        <w:t xml:space="preserve"> </w:t>
      </w:r>
      <w:r w:rsidR="00CE3847">
        <w:rPr>
          <w:rFonts w:ascii="Roboto-Regular" w:hAnsi="Roboto-Regular" w:cs="Roboto-Regular"/>
          <w:lang w:eastAsia="ja-JP"/>
        </w:rPr>
        <w:fldChar w:fldCharType="begin" w:fldLock="1"/>
      </w:r>
      <w:r w:rsidR="008A1E87">
        <w:rPr>
          <w:rFonts w:ascii="Roboto-Regular" w:hAnsi="Roboto-Regular" w:cs="Roboto-Regular"/>
          <w:lang w:eastAsia="ja-JP"/>
        </w:rPr>
        <w:instrText>ADDIN CSL_CITATION {"citationItems":[{"id":"ITEM-1","itemData":{"author":[{"dropping-particle":"","family":"Our Watch","given":"","non-dropping-particle":"","parse-names":false,"suffix":""}],"id":"ITEM-1","issued":{"date-parts":[["2017"]]},"publisher":"Our Watch","publisher-place":"Melbourne","title":"Tracking change: Snapshot evaluation findings for The Line campaign 2015 to 2017","type":"report"},"uris":["http://www.mendeley.com/documents/?uuid=653c27dc-eb49-3a64-baa1-77fc9c33a734"]}],"mendeley":{"formattedCitation":"(Our Watch, 2017)","plainTextFormattedCitation":"(Our Watch, 2017)","previouslyFormattedCitation":"(Our Watch, 2017)"},"properties":{"noteIndex":0},"schema":"https://github.com/citation-style-language/schema/raw/master/csl-citation.json"}</w:instrText>
      </w:r>
      <w:r w:rsidR="00CE3847">
        <w:rPr>
          <w:rFonts w:ascii="Roboto-Regular" w:hAnsi="Roboto-Regular" w:cs="Roboto-Regular"/>
          <w:lang w:eastAsia="ja-JP"/>
        </w:rPr>
        <w:fldChar w:fldCharType="separate"/>
      </w:r>
      <w:r w:rsidR="00CE3847" w:rsidRPr="00CE3847">
        <w:rPr>
          <w:rFonts w:ascii="Roboto-Regular" w:hAnsi="Roboto-Regular" w:cs="Roboto-Regular"/>
          <w:noProof/>
          <w:lang w:eastAsia="ja-JP"/>
        </w:rPr>
        <w:t>(Our Watch, 2017)</w:t>
      </w:r>
      <w:r w:rsidR="00CE3847">
        <w:rPr>
          <w:rFonts w:ascii="Roboto-Regular" w:hAnsi="Roboto-Regular" w:cs="Roboto-Regular"/>
          <w:lang w:eastAsia="ja-JP"/>
        </w:rPr>
        <w:fldChar w:fldCharType="end"/>
      </w:r>
      <w:r w:rsidRPr="028605AC">
        <w:rPr>
          <w:rFonts w:ascii="Roboto-Regular" w:hAnsi="Roboto-Regular" w:cs="Roboto-Regular"/>
          <w:lang w:eastAsia="ja-JP"/>
        </w:rPr>
        <w:t xml:space="preserve">. The mixed results of these </w:t>
      </w:r>
      <w:r w:rsidR="00000D98" w:rsidRPr="028605AC">
        <w:rPr>
          <w:rFonts w:ascii="Roboto-Regular" w:hAnsi="Roboto-Regular" w:cs="Roboto-Regular"/>
          <w:lang w:eastAsia="ja-JP"/>
        </w:rPr>
        <w:t>community</w:t>
      </w:r>
      <w:r w:rsidR="00000D98">
        <w:rPr>
          <w:rFonts w:ascii="Roboto-Regular" w:hAnsi="Roboto-Regular" w:cs="Roboto-Regular"/>
          <w:lang w:eastAsia="ja-JP"/>
        </w:rPr>
        <w:t>-</w:t>
      </w:r>
      <w:r w:rsidRPr="028605AC">
        <w:rPr>
          <w:rFonts w:ascii="Roboto-Regular" w:hAnsi="Roboto-Regular" w:cs="Roboto-Regular"/>
          <w:lang w:eastAsia="ja-JP"/>
        </w:rPr>
        <w:t xml:space="preserve">level programs indicate the need for more rigorous research on these types of programs. In addition, more varied, </w:t>
      </w:r>
      <w:r w:rsidR="00000D98" w:rsidRPr="028605AC">
        <w:rPr>
          <w:rFonts w:ascii="Roboto-Regular" w:hAnsi="Roboto-Regular" w:cs="Roboto-Regular"/>
          <w:lang w:eastAsia="ja-JP"/>
        </w:rPr>
        <w:t>national</w:t>
      </w:r>
      <w:r w:rsidR="00000D98">
        <w:rPr>
          <w:rFonts w:ascii="Roboto-Regular" w:hAnsi="Roboto-Regular" w:cs="Roboto-Regular"/>
          <w:lang w:eastAsia="ja-JP"/>
        </w:rPr>
        <w:t>-</w:t>
      </w:r>
      <w:r w:rsidR="17BCF567" w:rsidRPr="0EDA0146">
        <w:rPr>
          <w:rFonts w:ascii="Roboto-Regular" w:hAnsi="Roboto-Regular" w:cs="Roboto-Regular"/>
          <w:lang w:eastAsia="ja-JP"/>
        </w:rPr>
        <w:t>level</w:t>
      </w:r>
      <w:r w:rsidRPr="028605AC">
        <w:rPr>
          <w:rFonts w:ascii="Roboto-Regular" w:hAnsi="Roboto-Regular" w:cs="Roboto-Regular"/>
          <w:lang w:eastAsia="ja-JP"/>
        </w:rPr>
        <w:t xml:space="preserve"> social marketing </w:t>
      </w:r>
      <w:r w:rsidR="1AE6C3CE" w:rsidRPr="028605AC">
        <w:rPr>
          <w:rFonts w:ascii="Roboto-Regular" w:hAnsi="Roboto-Regular" w:cs="Roboto-Regular"/>
          <w:lang w:eastAsia="ja-JP"/>
        </w:rPr>
        <w:t>activities</w:t>
      </w:r>
      <w:r w:rsidRPr="028605AC">
        <w:rPr>
          <w:rFonts w:ascii="Roboto-Regular" w:hAnsi="Roboto-Regular" w:cs="Roboto-Regular"/>
          <w:lang w:eastAsia="ja-JP"/>
        </w:rPr>
        <w:t xml:space="preserve"> are required</w:t>
      </w:r>
      <w:r w:rsidR="004C56F1">
        <w:rPr>
          <w:rFonts w:ascii="Roboto-Regular" w:hAnsi="Roboto-Regular" w:cs="Roboto-Regular"/>
          <w:lang w:eastAsia="ja-JP"/>
        </w:rPr>
        <w:t xml:space="preserve"> (</w:t>
      </w:r>
      <w:r w:rsidRPr="028605AC">
        <w:rPr>
          <w:rFonts w:ascii="Roboto-Regular" w:hAnsi="Roboto-Regular" w:cs="Roboto-Regular"/>
          <w:lang w:eastAsia="ja-JP"/>
        </w:rPr>
        <w:t>e.g.</w:t>
      </w:r>
      <w:r w:rsidR="004C56F1">
        <w:rPr>
          <w:rFonts w:ascii="Roboto-Regular" w:hAnsi="Roboto-Regular" w:cs="Roboto-Regular"/>
          <w:lang w:eastAsia="ja-JP"/>
        </w:rPr>
        <w:t xml:space="preserve">, </w:t>
      </w:r>
      <w:r w:rsidRPr="028605AC">
        <w:rPr>
          <w:rFonts w:ascii="Roboto-Regular" w:hAnsi="Roboto-Regular" w:cs="Roboto-Regular"/>
          <w:lang w:eastAsia="ja-JP"/>
        </w:rPr>
        <w:t>campaigns promoting healthy masculinities</w:t>
      </w:r>
      <w:r w:rsidR="65027345" w:rsidRPr="26955BB5">
        <w:rPr>
          <w:rFonts w:ascii="Roboto-Regular" w:hAnsi="Roboto-Regular" w:cs="Roboto-Regular"/>
          <w:lang w:eastAsia="ja-JP"/>
        </w:rPr>
        <w:t xml:space="preserve">, critical </w:t>
      </w:r>
      <w:r w:rsidR="65027345" w:rsidRPr="5F4DC12B">
        <w:rPr>
          <w:rFonts w:ascii="Roboto-Regular" w:hAnsi="Roboto-Regular" w:cs="Roboto-Regular"/>
          <w:lang w:eastAsia="ja-JP"/>
        </w:rPr>
        <w:t>engagement with media</w:t>
      </w:r>
      <w:r w:rsidRPr="028605AC">
        <w:rPr>
          <w:rFonts w:ascii="Roboto-Regular" w:hAnsi="Roboto-Regular" w:cs="Roboto-Regular"/>
          <w:lang w:eastAsia="ja-JP"/>
        </w:rPr>
        <w:t xml:space="preserve"> </w:t>
      </w:r>
      <w:r w:rsidR="00000D98">
        <w:rPr>
          <w:rFonts w:ascii="Roboto-Regular" w:hAnsi="Roboto-Regular" w:cs="Roboto-Regular"/>
          <w:lang w:eastAsia="ja-JP"/>
        </w:rPr>
        <w:t>[</w:t>
      </w:r>
      <w:r w:rsidR="1CA6998F" w:rsidRPr="007AB06C">
        <w:rPr>
          <w:rFonts w:ascii="Roboto-Regular" w:hAnsi="Roboto-Regular" w:cs="Roboto-Regular"/>
          <w:lang w:eastAsia="ja-JP"/>
        </w:rPr>
        <w:t>pornography</w:t>
      </w:r>
      <w:r w:rsidR="00000D98">
        <w:rPr>
          <w:rFonts w:ascii="Roboto-Regular" w:hAnsi="Roboto-Regular" w:cs="Roboto-Regular"/>
          <w:lang w:eastAsia="ja-JP"/>
        </w:rPr>
        <w:t>]</w:t>
      </w:r>
      <w:r w:rsidR="1CA6998F" w:rsidRPr="007AB06C">
        <w:rPr>
          <w:rFonts w:ascii="Roboto-Regular" w:hAnsi="Roboto-Regular" w:cs="Roboto-Regular"/>
          <w:lang w:eastAsia="ja-JP"/>
        </w:rPr>
        <w:t xml:space="preserve"> </w:t>
      </w:r>
      <w:r w:rsidRPr="028605AC">
        <w:rPr>
          <w:rFonts w:ascii="Roboto-Regular" w:hAnsi="Roboto-Regular" w:cs="Roboto-Regular"/>
          <w:lang w:eastAsia="ja-JP"/>
        </w:rPr>
        <w:t>and affirmative consent</w:t>
      </w:r>
      <w:r w:rsidR="004C56F1">
        <w:rPr>
          <w:rFonts w:ascii="Roboto-Regular" w:hAnsi="Roboto-Regular" w:cs="Roboto-Regular"/>
          <w:lang w:eastAsia="ja-JP"/>
        </w:rPr>
        <w:t>)</w:t>
      </w:r>
      <w:r w:rsidRPr="028605AC">
        <w:rPr>
          <w:rFonts w:ascii="Roboto-Regular" w:hAnsi="Roboto-Regular" w:cs="Roboto-Regular"/>
          <w:lang w:eastAsia="ja-JP"/>
        </w:rPr>
        <w:t>.</w:t>
      </w:r>
    </w:p>
    <w:p w14:paraId="6D354D55" w14:textId="5A7CAFD4" w:rsidR="001C44BD" w:rsidRPr="006A192A" w:rsidRDefault="001C44BD" w:rsidP="00632460"/>
    <w:p w14:paraId="763467D8" w14:textId="7E26605F" w:rsidR="00374BAD" w:rsidRDefault="00374BAD" w:rsidP="00374BAD">
      <w:pPr>
        <w:pStyle w:val="LTU-Body"/>
      </w:pPr>
    </w:p>
    <w:p w14:paraId="6F7B7EED" w14:textId="77777777" w:rsidR="00F41CB0" w:rsidRDefault="00F41CB0" w:rsidP="00724649">
      <w:pPr>
        <w:pStyle w:val="DSSBody"/>
        <w:sectPr w:rsidR="00F41CB0" w:rsidSect="00451DAC">
          <w:type w:val="continuous"/>
          <w:pgSz w:w="11906" w:h="16838" w:code="9"/>
          <w:pgMar w:top="2240" w:right="709" w:bottom="1276" w:left="1418" w:header="709" w:footer="624" w:gutter="0"/>
          <w:cols w:space="708"/>
          <w:docGrid w:linePitch="360"/>
        </w:sectPr>
      </w:pPr>
    </w:p>
    <w:p w14:paraId="513EDCD4" w14:textId="02318CC2" w:rsidR="00E95885" w:rsidRDefault="00E95885" w:rsidP="00324D17">
      <w:pPr>
        <w:pStyle w:val="Caption"/>
      </w:pPr>
      <w:bookmarkStart w:id="62" w:name="_Toc65156133"/>
      <w:r>
        <w:rPr>
          <w:noProof/>
          <w:lang w:eastAsia="en-AU"/>
        </w:rPr>
        <w:lastRenderedPageBreak/>
        <w:drawing>
          <wp:inline distT="0" distB="0" distL="0" distR="0" wp14:anchorId="02FAAD8A" wp14:editId="1085F234">
            <wp:extent cx="8459470" cy="5081905"/>
            <wp:effectExtent l="0" t="0" r="0" b="0"/>
            <wp:docPr id="35" name="Picture 35" descr="Figure 6: Policy and reform&#10;Three columns headed Activities/Interventions, Short-term Outcomes, Long-term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igure 6: Policy and reform&#10;Three columns headed Activities/Interventions, Short-term Outcomes, Long-term Outcomes"/>
                    <pic:cNvPicPr/>
                  </pic:nvPicPr>
                  <pic:blipFill>
                    <a:blip r:embed="rId30">
                      <a:extLst>
                        <a:ext uri="{28A0092B-C50C-407E-A947-70E740481C1C}">
                          <a14:useLocalDpi xmlns:a14="http://schemas.microsoft.com/office/drawing/2010/main" val="0"/>
                        </a:ext>
                      </a:extLst>
                    </a:blip>
                    <a:stretch>
                      <a:fillRect/>
                    </a:stretch>
                  </pic:blipFill>
                  <pic:spPr>
                    <a:xfrm>
                      <a:off x="0" y="0"/>
                      <a:ext cx="8459470" cy="5081905"/>
                    </a:xfrm>
                    <a:prstGeom prst="rect">
                      <a:avLst/>
                    </a:prstGeom>
                  </pic:spPr>
                </pic:pic>
              </a:graphicData>
            </a:graphic>
          </wp:inline>
        </w:drawing>
      </w:r>
    </w:p>
    <w:p w14:paraId="73AAA17B" w14:textId="77777777" w:rsidR="00E95885" w:rsidRDefault="00E95885" w:rsidP="00324D17">
      <w:pPr>
        <w:pStyle w:val="Caption"/>
      </w:pPr>
    </w:p>
    <w:p w14:paraId="1DE26706" w14:textId="2B16E7FD" w:rsidR="00324D17" w:rsidRDefault="00324D17" w:rsidP="00324D17">
      <w:pPr>
        <w:pStyle w:val="Caption"/>
      </w:pPr>
      <w:r>
        <w:t xml:space="preserve">Figure </w:t>
      </w:r>
      <w:r w:rsidR="007E0DCE">
        <w:t>6</w:t>
      </w:r>
      <w:r w:rsidR="00106C03">
        <w:t>:</w:t>
      </w:r>
      <w:r>
        <w:t xml:space="preserve"> </w:t>
      </w:r>
      <w:r w:rsidRPr="009943F3">
        <w:t>Policy and reform</w:t>
      </w:r>
      <w:bookmarkEnd w:id="62"/>
    </w:p>
    <w:p w14:paraId="6207C347" w14:textId="54F85E5A" w:rsidR="00E47835" w:rsidRPr="00E47835" w:rsidRDefault="00E47835" w:rsidP="00324D17">
      <w:pPr>
        <w:pStyle w:val="Caption"/>
        <w:sectPr w:rsidR="00E47835" w:rsidRPr="00E47835" w:rsidSect="00451DAC">
          <w:type w:val="continuous"/>
          <w:pgSz w:w="16838" w:h="11906" w:orient="landscape" w:code="9"/>
          <w:pgMar w:top="1418" w:right="2240" w:bottom="709" w:left="1276" w:header="709" w:footer="624" w:gutter="0"/>
          <w:cols w:space="708"/>
          <w:docGrid w:linePitch="360"/>
        </w:sectPr>
      </w:pPr>
    </w:p>
    <w:p w14:paraId="50469EB1" w14:textId="1A0DFBCD" w:rsidR="003C377B" w:rsidRPr="00106C03" w:rsidRDefault="00C20F15" w:rsidP="00A429E0">
      <w:pPr>
        <w:pStyle w:val="LTU-Subhead1"/>
      </w:pPr>
      <w:bookmarkStart w:id="63" w:name="_Toc67035854"/>
      <w:r w:rsidRPr="00106C03">
        <w:lastRenderedPageBreak/>
        <w:t xml:space="preserve">Policy and </w:t>
      </w:r>
      <w:r w:rsidRPr="00A429E0">
        <w:t>Reform</w:t>
      </w:r>
      <w:bookmarkEnd w:id="63"/>
      <w:r w:rsidRPr="003C377B">
        <w:t xml:space="preserve"> </w:t>
      </w:r>
    </w:p>
    <w:p w14:paraId="4300B20E" w14:textId="3C4A3788" w:rsidR="00A33B87" w:rsidRPr="00A429E0" w:rsidRDefault="00C20F15" w:rsidP="00A429E0">
      <w:pPr>
        <w:pStyle w:val="LTU-Subhead2"/>
      </w:pPr>
      <w:r w:rsidRPr="00106C03">
        <w:t>Rationale</w:t>
      </w:r>
    </w:p>
    <w:p w14:paraId="08420D25" w14:textId="2581B852" w:rsidR="00C20F15" w:rsidRDefault="00C20F15" w:rsidP="4A008F5A">
      <w:pPr>
        <w:pStyle w:val="LTU-Body10pt"/>
      </w:pPr>
      <w:r>
        <w:t>SVH policy development</w:t>
      </w:r>
      <w:r w:rsidR="004759DA">
        <w:t>,</w:t>
      </w:r>
      <w:r>
        <w:t xml:space="preserve"> with successful implementation</w:t>
      </w:r>
      <w:r w:rsidR="004759DA">
        <w:t>,</w:t>
      </w:r>
      <w:r>
        <w:t xml:space="preserve"> can be a cost-effective primary prevention strategy to </w:t>
      </w:r>
      <w:r w:rsidR="00E6713C">
        <w:t xml:space="preserve">foster </w:t>
      </w:r>
      <w:r>
        <w:t xml:space="preserve">the positive change </w:t>
      </w:r>
      <w:r w:rsidR="00BC3CF8">
        <w:t xml:space="preserve">in SVH attitudes and behaviours </w:t>
      </w:r>
      <w:r>
        <w:t>of large populations. Policy strategies include influential laws</w:t>
      </w:r>
      <w:r w:rsidR="6DA7DD81">
        <w:t xml:space="preserve"> </w:t>
      </w:r>
      <w:r>
        <w:t xml:space="preserve">and/or guidelines at organisational, local, state and national levels that can efficiently change large and complex systems </w:t>
      </w:r>
      <w:r w:rsidR="00DB66A5">
        <w:t>(</w:t>
      </w:r>
      <w:r>
        <w:t>e.g.</w:t>
      </w:r>
      <w:r w:rsidR="00DB66A5">
        <w:t>,</w:t>
      </w:r>
      <w:r>
        <w:t xml:space="preserve"> sexual harassment and anti-discrimination laws </w:t>
      </w:r>
      <w:r w:rsidR="1762EE63">
        <w:t xml:space="preserve">that </w:t>
      </w:r>
      <w:r>
        <w:t xml:space="preserve">enhance the safety of the community and wider population </w:t>
      </w:r>
      <w:r>
        <w:fldChar w:fldCharType="begin" w:fldLock="1"/>
      </w:r>
      <w:r w:rsidR="00DB66A5">
        <w:instrText>ADDIN CSL_CITATION {"citationItems":[{"id":"ITEM-1","itemData":{"author":[{"dropping-particle":"","family":"Dills","given":"Jenny","non-dropping-particle":"","parse-names":false,"suffix":""},{"dropping-particle":"","family":"Jones","given":"Kathryn","non-dropping-particle":"","parse-names":false,"suffix":""},{"dropping-particle":"","family":"Brown","given":"Pamela","non-dropping-particle":"","parse-names":false,"suffix":""}],"id":"ITEM-1","issued":{"date-parts":[["2019"]]},"publisher":"National Center for Injury Prevention and Control, Centers for Disease Conrol and Prevention","publisher-place":"Atlanta","title":"Continuing the dialogue: Learning from the past and looking to the future of intimate partner violence and sexual violence prevention","type":"book"},"uris":["http://www.mendeley.com/documents/?uuid=5d74b6af-fc26-3fcb-8f92-3b947cfdd900"]}],"mendeley":{"formattedCitation":"(Dills et al., 2019)","manualFormatting":"[Dills et al., 2019])","plainTextFormattedCitation":"(Dills et al., 2019)","previouslyFormattedCitation":"(Dills et al., 2019)"},"properties":{"noteIndex":0},"schema":"https://github.com/citation-style-language/schema/raw/master/csl-citation.json"}</w:instrText>
      </w:r>
      <w:r>
        <w:fldChar w:fldCharType="separate"/>
      </w:r>
      <w:r w:rsidR="00DB66A5">
        <w:rPr>
          <w:noProof/>
        </w:rPr>
        <w:t>[</w:t>
      </w:r>
      <w:r w:rsidRPr="4A008F5A">
        <w:rPr>
          <w:noProof/>
        </w:rPr>
        <w:t>Dills et al., 2019</w:t>
      </w:r>
      <w:r w:rsidR="00DB66A5">
        <w:rPr>
          <w:noProof/>
        </w:rPr>
        <w:t>]</w:t>
      </w:r>
      <w:r w:rsidRPr="4A008F5A">
        <w:rPr>
          <w:noProof/>
        </w:rPr>
        <w:t>)</w:t>
      </w:r>
      <w:r>
        <w:fldChar w:fldCharType="end"/>
      </w:r>
      <w:r>
        <w:t xml:space="preserve">. Australia has a national policy on the prevention of VAW and children </w:t>
      </w:r>
      <w:r>
        <w:fldChar w:fldCharType="begin" w:fldLock="1"/>
      </w:r>
      <w:r>
        <w:instrText>ADDIN CSL_CITATION {"citationItems":[{"id":"ITEM-1","itemData":{"author":[{"dropping-particle":"","family":"National Council to Reduce Violence against Women and their Children","given":"","non-dropping-particle":"","parse-names":false,"suffix":""}],"id":"ITEM-1","issued":{"date-parts":[["2009"]]},"publisher":"Department of Social Services","title":"Time for action: The National Council’s plan for Australia to reduce violence against women and their children 2009–2021","type":"report"},"uris":["http://www.mendeley.com/documents/?uuid=e3dca642-8689-32ba-9b6c-e90f7561c176"]}],"mendeley":{"formattedCitation":"(National Council to Reduce Violence against Women and their Children, 2009)","plainTextFormattedCitation":"(National Council to Reduce Violence against Women and their Children, 2009)","previouslyFormattedCitation":"(National Council to Reduce Violence against Women and their Children, 2009)"},"properties":{"noteIndex":0},"schema":"https://github.com/citation-style-language/schema/raw/master/csl-citation.json"}</w:instrText>
      </w:r>
      <w:r>
        <w:fldChar w:fldCharType="separate"/>
      </w:r>
      <w:r w:rsidR="00A74157" w:rsidRPr="4A008F5A">
        <w:rPr>
          <w:noProof/>
        </w:rPr>
        <w:t>(National Council to Reduce Violence against Women and their Children, 2009)</w:t>
      </w:r>
      <w:r>
        <w:fldChar w:fldCharType="end"/>
      </w:r>
      <w:r>
        <w:t xml:space="preserve">, yet this is not specific to SVH. A national SVH policy and the revision of other supportive legislation and reform is </w:t>
      </w:r>
      <w:r w:rsidR="008159E4">
        <w:t>recommended</w:t>
      </w:r>
      <w:r>
        <w:t>. This policy needs to go beyond workplace rights and sex discrimination</w:t>
      </w:r>
      <w:r w:rsidR="004759DA">
        <w:t>—</w:t>
      </w:r>
      <w:r>
        <w:t>including</w:t>
      </w:r>
      <w:r w:rsidR="008159E4">
        <w:t xml:space="preserve"> consideration of</w:t>
      </w:r>
      <w:r>
        <w:t xml:space="preserve"> recommendations of the recent </w:t>
      </w:r>
      <w:r w:rsidRPr="00DB66A5">
        <w:rPr>
          <w:i/>
          <w:iCs/>
        </w:rPr>
        <w:t>Respect@Work</w:t>
      </w:r>
      <w:r>
        <w:t xml:space="preserve"> </w:t>
      </w:r>
      <w:r>
        <w:fldChar w:fldCharType="begin" w:fldLock="1"/>
      </w:r>
      <w:r w:rsidR="00367D7A">
        <w:instrText>ADDIN CSL_CITATION {"citationItems":[{"id":"ITEM-1","itemData":{"author":[{"dropping-particle":"","family":"Australian Human Rights Commission","given":"","non-dropping-particle":"","parse-names":false,"suffix":""}],"id":"ITEM-1","issued":{"date-parts":[["2020"]]},"publisher":"Australian Human Rights Commission","publisher-place":"Sydney","title":"Respect@work: National inquiry into sexual harassment in Australian workplaces","type":"report"},"uris":["http://www.mendeley.com/documents/?uuid=1471c1d2-e9d4-3a0f-98d9-dd1a5f082efc"]}],"mendeley":{"formattedCitation":"(Australian Human Rights Commission, 2020a)","manualFormatting":"(AHRC, 2020a)","plainTextFormattedCitation":"(Australian Human Rights Commission, 2020a)","previouslyFormattedCitation":"(Australian Human Rights Commission, 2020a)"},"properties":{"noteIndex":0},"schema":"https://github.com/citation-style-language/schema/raw/master/csl-citation.json"}</w:instrText>
      </w:r>
      <w:r>
        <w:fldChar w:fldCharType="separate"/>
      </w:r>
      <w:r w:rsidR="00333EB2" w:rsidRPr="4A008F5A">
        <w:rPr>
          <w:noProof/>
        </w:rPr>
        <w:t>(A</w:t>
      </w:r>
      <w:r w:rsidR="0090409C" w:rsidRPr="4A008F5A">
        <w:rPr>
          <w:noProof/>
        </w:rPr>
        <w:t>HRC</w:t>
      </w:r>
      <w:r w:rsidR="00333EB2" w:rsidRPr="4A008F5A">
        <w:rPr>
          <w:noProof/>
        </w:rPr>
        <w:t>, 2020a)</w:t>
      </w:r>
      <w:r>
        <w:fldChar w:fldCharType="end"/>
      </w:r>
      <w:r w:rsidR="00A74157">
        <w:t xml:space="preserve"> </w:t>
      </w:r>
      <w:r>
        <w:t>report</w:t>
      </w:r>
      <w:r w:rsidR="004759DA">
        <w:t>—</w:t>
      </w:r>
      <w:r>
        <w:t xml:space="preserve">to enhanced social policy and support for families </w:t>
      </w:r>
      <w:r w:rsidR="00DB66A5">
        <w:t>(</w:t>
      </w:r>
      <w:r>
        <w:t>e.g.</w:t>
      </w:r>
      <w:r w:rsidR="00DB66A5">
        <w:t>,</w:t>
      </w:r>
      <w:r>
        <w:t xml:space="preserve"> policy that addresses the social </w:t>
      </w:r>
      <w:r w:rsidR="5DED4AC5">
        <w:t>determinants</w:t>
      </w:r>
      <w:r>
        <w:t xml:space="preserve"> of SVH, such as poverty</w:t>
      </w:r>
      <w:r w:rsidR="00DB66A5">
        <w:t>)</w:t>
      </w:r>
      <w:r>
        <w:t>. Other commercial determinants of SVH also need regulation and reform</w:t>
      </w:r>
      <w:r w:rsidR="004759DA">
        <w:t>—</w:t>
      </w:r>
      <w:r>
        <w:t xml:space="preserve">such as Big alcohol, </w:t>
      </w:r>
      <w:r w:rsidR="00B75D2A">
        <w:t xml:space="preserve">ethical </w:t>
      </w:r>
      <w:r>
        <w:t>media</w:t>
      </w:r>
      <w:r w:rsidR="00B75D2A">
        <w:t xml:space="preserve"> reporting</w:t>
      </w:r>
      <w:r>
        <w:t xml:space="preserve"> and </w:t>
      </w:r>
      <w:r w:rsidR="0058608A">
        <w:t xml:space="preserve">accountability for </w:t>
      </w:r>
      <w:r w:rsidR="0682310D">
        <w:t>technology</w:t>
      </w:r>
      <w:r>
        <w:t xml:space="preserve"> companies (</w:t>
      </w:r>
      <w:r w:rsidR="00B379DA">
        <w:t>social media/</w:t>
      </w:r>
      <w:r>
        <w:t xml:space="preserve">online dating sites/pornography industry) </w:t>
      </w:r>
      <w:r w:rsidR="004759DA">
        <w:t xml:space="preserve">that </w:t>
      </w:r>
      <w:r>
        <w:t>profit from the exploitation and abuse of women.</w:t>
      </w:r>
      <w:r w:rsidR="7DCE9B49">
        <w:t xml:space="preserve"> Alcohol is a significant reinforcing factor in the perpetration of SVH. From our research, </w:t>
      </w:r>
      <w:r>
        <w:t>Australian secondary school students report being “too drunk” to stop unwanted sexual attention/behaviours in the 6</w:t>
      </w:r>
      <w:r w:rsidRPr="4A008F5A">
        <w:rPr>
          <w:vertAlign w:val="superscript"/>
        </w:rPr>
        <w:t>th</w:t>
      </w:r>
      <w:r>
        <w:t xml:space="preserve"> National Survey of Secondary Students and Sexual Health</w:t>
      </w:r>
      <w:r w:rsidR="00A74157">
        <w:t xml:space="preserve"> </w:t>
      </w:r>
      <w:r>
        <w:fldChar w:fldCharType="begin" w:fldLock="1"/>
      </w:r>
      <w:r>
        <w:instrText>ADDIN CSL_CITATION {"citationItems":[{"id":"ITEM-1","itemData":{"author":[{"dropping-particle":"","family":"Hooker","given":"Leesa","non-dropping-particle":"","parse-names":false,"suffix":""},{"dropping-particle":"","family":"Ison","given":"Jessica","non-dropping-particle":"","parse-names":false,"suffix":""},{"dropping-particle":"","family":"O'Sullivan","given":"Grant","non-dropping-particle":"","parse-names":false,"suffix":""},{"dropping-particle":"","family":"Fisher","given":"Christopher","non-dropping-particle":"","parse-names":false,"suffix":""},{"dropping-particle":"","family":"Henry","given":"Nicola","non-dropping-particle":"","parse-names":false,"suffix":""},{"dropping-particle":"","family":"Forsdike","given":"Kirsty","non-dropping-particle":"","parse-names":false,"suffix":""},{"dropping-particle":"","family":"Young","given":"Felicity","non-dropping-particle":"","parse-names":false,"suffix":""},{"dropping-particle":"","family":"Taft","given":"Angela","non-dropping-particle":"","parse-names":false,"suffix":""}],"id":"ITEM-1","issued":{"date-parts":[["2020"]]},"publisher":"Australian Government Department of Social Services","publisher-place":"Melbourne","title":"Primary prevention of sexual violence and harassment against women and girls: Combining evidence and practice knowledge - Research report","type":"book"},"uris":["http://www.mendeley.com/documents/?uuid=ad3c882d-be80-460c-a4f7-9942f156a744"]}],"mendeley":{"formattedCitation":"(Hooker et al., 2020)","plainTextFormattedCitation":"(Hooker et al., 2020)","previouslyFormattedCitation":"(Hooker et al., 2020)"},"properties":{"noteIndex":0},"schema":"https://github.com/citation-style-language/schema/raw/master/csl-citation.json"}</w:instrText>
      </w:r>
      <w:r>
        <w:fldChar w:fldCharType="separate"/>
      </w:r>
      <w:r w:rsidR="00A74157" w:rsidRPr="4A008F5A">
        <w:rPr>
          <w:noProof/>
        </w:rPr>
        <w:t>(Hooker et al., 2020)</w:t>
      </w:r>
      <w:r>
        <w:fldChar w:fldCharType="end"/>
      </w:r>
      <w:r>
        <w:t>.</w:t>
      </w:r>
    </w:p>
    <w:p w14:paraId="2AA83C9A" w14:textId="77777777" w:rsidR="00106C03" w:rsidRPr="003C377B" w:rsidRDefault="00106C03" w:rsidP="00A429E0">
      <w:pPr>
        <w:pStyle w:val="Pullouts"/>
      </w:pPr>
      <w:r w:rsidRPr="003C377B">
        <w:t>“Research tells us that the media is a powerful driver of social change and can positively influence the culture, behaviours and attitudes that drive violence against women and their children” (Our Watch 2019b, p. 2)</w:t>
      </w:r>
    </w:p>
    <w:p w14:paraId="7C88FB40" w14:textId="77777777" w:rsidR="00106C03" w:rsidRPr="006A192A" w:rsidRDefault="00106C03" w:rsidP="4A008F5A">
      <w:pPr>
        <w:pStyle w:val="LTU-Body10pt"/>
        <w:rPr>
          <w:rFonts w:eastAsiaTheme="minorEastAsia" w:cstheme="minorBidi"/>
          <w:b/>
          <w:bCs/>
        </w:rPr>
      </w:pPr>
    </w:p>
    <w:p w14:paraId="68FEEA21" w14:textId="380821A7" w:rsidR="00C20F15" w:rsidRPr="00106C03" w:rsidRDefault="00C20F15" w:rsidP="00A429E0">
      <w:pPr>
        <w:pStyle w:val="LTU-Subhead3"/>
      </w:pPr>
      <w:r w:rsidRPr="00106C03">
        <w:t>How to do it</w:t>
      </w:r>
      <w:r w:rsidR="00A73331" w:rsidRPr="00106C03">
        <w:t>?</w:t>
      </w:r>
      <w:r w:rsidRPr="00106C03">
        <w:t xml:space="preserve"> </w:t>
      </w:r>
      <w:r w:rsidRPr="00A429E0">
        <w:t>Activities</w:t>
      </w:r>
      <w:r w:rsidRPr="00106C03">
        <w:t>/interventions</w:t>
      </w:r>
    </w:p>
    <w:p w14:paraId="1668DBD7" w14:textId="05041B07" w:rsidR="00E55E34" w:rsidRDefault="3C2C3A5A" w:rsidP="006F1C63">
      <w:pPr>
        <w:pStyle w:val="LTU-Bullets10pt"/>
        <w:rPr>
          <w:rFonts w:cstheme="minorBidi"/>
        </w:rPr>
      </w:pPr>
      <w:r>
        <w:t xml:space="preserve">Implement a </w:t>
      </w:r>
      <w:r w:rsidR="00AB06B7">
        <w:t>n</w:t>
      </w:r>
      <w:r w:rsidR="00C20F15">
        <w:t>ational SVH primary prevention policy</w:t>
      </w:r>
    </w:p>
    <w:p w14:paraId="4FC69781" w14:textId="48CA7CE0" w:rsidR="00E55E34" w:rsidRPr="003A5665" w:rsidRDefault="00C20F15" w:rsidP="006F1C63">
      <w:pPr>
        <w:pStyle w:val="LTU-Bullets10pt"/>
        <w:rPr>
          <w:rFonts w:cstheme="minorBidi"/>
        </w:rPr>
      </w:pPr>
      <w:r>
        <w:t>Improve</w:t>
      </w:r>
      <w:r w:rsidR="00802F5C">
        <w:t>d</w:t>
      </w:r>
      <w:r>
        <w:t xml:space="preserve"> legislation </w:t>
      </w:r>
      <w:r w:rsidR="00E019B7">
        <w:t>(</w:t>
      </w:r>
      <w:r>
        <w:t>e.g.</w:t>
      </w:r>
      <w:r w:rsidR="00F64760">
        <w:t>,</w:t>
      </w:r>
      <w:r>
        <w:t xml:space="preserve"> </w:t>
      </w:r>
      <w:r w:rsidR="00711D14">
        <w:t xml:space="preserve">national gender equity legislation, workplace and SVH/discrimination policies; </w:t>
      </w:r>
      <w:r w:rsidR="009303AB">
        <w:t>ensuring adequate</w:t>
      </w:r>
      <w:r w:rsidR="00711D14">
        <w:t xml:space="preserve"> social security payments</w:t>
      </w:r>
      <w:r w:rsidR="00E019B7">
        <w:t>)</w:t>
      </w:r>
    </w:p>
    <w:p w14:paraId="10AF05E2" w14:textId="62464808" w:rsidR="00E55E34" w:rsidRDefault="00063F90" w:rsidP="006F1C63">
      <w:pPr>
        <w:pStyle w:val="LTU-Bullets10pt"/>
        <w:rPr>
          <w:rFonts w:cstheme="minorBidi"/>
        </w:rPr>
      </w:pPr>
      <w:r>
        <w:lastRenderedPageBreak/>
        <w:t>Regulation</w:t>
      </w:r>
      <w:r w:rsidR="00C20F15">
        <w:t>, laws and policies on harmful online content and technology-facilitated abuse</w:t>
      </w:r>
    </w:p>
    <w:p w14:paraId="72B1F6C6" w14:textId="5908248E" w:rsidR="00C20F15" w:rsidRPr="00106C03" w:rsidRDefault="00063F90" w:rsidP="006F1C63">
      <w:pPr>
        <w:pStyle w:val="LTU-Bullets10pt"/>
        <w:rPr>
          <w:rFonts w:eastAsiaTheme="minorEastAsia" w:cstheme="minorBidi"/>
        </w:rPr>
      </w:pPr>
      <w:r>
        <w:t>C</w:t>
      </w:r>
      <w:r w:rsidR="00F64760">
        <w:t xml:space="preserve">ommercial </w:t>
      </w:r>
      <w:r w:rsidR="00C20F15">
        <w:t xml:space="preserve">sector </w:t>
      </w:r>
      <w:r>
        <w:t xml:space="preserve">regulation </w:t>
      </w:r>
      <w:r w:rsidR="00C20F15">
        <w:t>and</w:t>
      </w:r>
      <w:r>
        <w:t xml:space="preserve"> actions </w:t>
      </w:r>
      <w:r w:rsidR="00E019B7">
        <w:t>(</w:t>
      </w:r>
      <w:r w:rsidR="00C20F15">
        <w:t>e.g.</w:t>
      </w:r>
      <w:r w:rsidR="00F64760">
        <w:t>,</w:t>
      </w:r>
      <w:r w:rsidR="00C20F15">
        <w:t xml:space="preserve"> policy on alcohol pricing; alcohol outlet density;</w:t>
      </w:r>
      <w:r w:rsidR="0F484BAB">
        <w:t xml:space="preserve"> </w:t>
      </w:r>
      <w:r w:rsidR="00C20F15">
        <w:t>harm prevention programs in entertainment venues</w:t>
      </w:r>
      <w:r w:rsidR="00E019B7">
        <w:t>)</w:t>
      </w:r>
    </w:p>
    <w:p w14:paraId="305511C7" w14:textId="468CC35B" w:rsidR="00C20F15" w:rsidRPr="00106C03" w:rsidRDefault="00C20F15" w:rsidP="00A429E0">
      <w:pPr>
        <w:pStyle w:val="LTU-Subhead3"/>
        <w:rPr>
          <w:rStyle w:val="Emphasis"/>
          <w:rFonts w:eastAsia="Times New Roman"/>
          <w:i/>
          <w:color w:val="20A097"/>
          <w:sz w:val="24"/>
          <w:szCs w:val="24"/>
        </w:rPr>
      </w:pPr>
      <w:r w:rsidRPr="00106C03">
        <w:t>What will happen</w:t>
      </w:r>
      <w:r w:rsidR="00A73331" w:rsidRPr="00106C03">
        <w:t>? S</w:t>
      </w:r>
      <w:r w:rsidRPr="00106C03">
        <w:t>hort</w:t>
      </w:r>
      <w:r w:rsidR="00F64760" w:rsidRPr="00106C03">
        <w:t>-</w:t>
      </w:r>
      <w:r w:rsidRPr="00106C03">
        <w:t>term outcomes</w:t>
      </w:r>
      <w:r w:rsidRPr="00106C03">
        <w:rPr>
          <w:rStyle w:val="Emphasis"/>
          <w:noProof/>
          <w:color w:val="20A097"/>
        </w:rPr>
        <w:t xml:space="preserve"> </w:t>
      </w:r>
    </w:p>
    <w:p w14:paraId="4A97BEE8" w14:textId="77777777" w:rsidR="00E55E34" w:rsidRDefault="00C20F15" w:rsidP="006F1C63">
      <w:pPr>
        <w:pStyle w:val="LTU-Bullets10pt"/>
        <w:rPr>
          <w:rFonts w:cstheme="minorBidi"/>
        </w:rPr>
      </w:pPr>
      <w:r>
        <w:t>Community and organisational engagement with national SVH policy</w:t>
      </w:r>
    </w:p>
    <w:p w14:paraId="3A83AC4A" w14:textId="212F4763" w:rsidR="00E55E34" w:rsidRDefault="00C20F15" w:rsidP="006F1C63">
      <w:pPr>
        <w:pStyle w:val="LTU-Bullets10pt"/>
        <w:rPr>
          <w:rFonts w:cstheme="minorBidi"/>
        </w:rPr>
      </w:pPr>
      <w:r>
        <w:t xml:space="preserve">Implementation of SVH policy across sectors and organisations; greater </w:t>
      </w:r>
      <w:r w:rsidR="000A6DF2">
        <w:t>victim</w:t>
      </w:r>
      <w:r w:rsidR="00F64760">
        <w:t>–</w:t>
      </w:r>
      <w:r>
        <w:t>survivor voice</w:t>
      </w:r>
    </w:p>
    <w:p w14:paraId="68755CD6" w14:textId="53C0EE1B" w:rsidR="00E55E34" w:rsidRDefault="00C20F15" w:rsidP="006F1C63">
      <w:pPr>
        <w:pStyle w:val="LTU-Bullets10pt"/>
        <w:rPr>
          <w:rFonts w:cstheme="minorBidi"/>
        </w:rPr>
      </w:pPr>
      <w:r>
        <w:t xml:space="preserve">Increased engagement and actions by media and technology organisations </w:t>
      </w:r>
      <w:r w:rsidR="002059C6">
        <w:t>(</w:t>
      </w:r>
      <w:r>
        <w:t>e.g.</w:t>
      </w:r>
      <w:r w:rsidR="00F64760">
        <w:t>,</w:t>
      </w:r>
      <w:r>
        <w:t xml:space="preserve"> removal of </w:t>
      </w:r>
      <w:r w:rsidR="003353C0">
        <w:t xml:space="preserve">harmful </w:t>
      </w:r>
      <w:r>
        <w:t>explicit material on social media</w:t>
      </w:r>
      <w:r w:rsidR="008B7665">
        <w:t>)</w:t>
      </w:r>
    </w:p>
    <w:p w14:paraId="7977624B" w14:textId="77777777" w:rsidR="00C20F15" w:rsidRPr="00E55E34" w:rsidRDefault="00C20F15" w:rsidP="006F1C63">
      <w:pPr>
        <w:pStyle w:val="LTU-Bullets10pt"/>
        <w:rPr>
          <w:rFonts w:cstheme="minorBidi"/>
        </w:rPr>
      </w:pPr>
      <w:r>
        <w:t>Reduced alcohol consumption and change in harmful drinking culture</w:t>
      </w:r>
    </w:p>
    <w:p w14:paraId="7402CE4E" w14:textId="7B9926B7" w:rsidR="00C20F15" w:rsidRPr="00106C03" w:rsidRDefault="00C20F15" w:rsidP="00A429E0">
      <w:pPr>
        <w:pStyle w:val="LTU-Subhead3"/>
      </w:pPr>
      <w:r w:rsidRPr="00106C03">
        <w:t>What you are measuring</w:t>
      </w:r>
      <w:r w:rsidR="00A73331" w:rsidRPr="00106C03">
        <w:t xml:space="preserve">? </w:t>
      </w:r>
      <w:r w:rsidR="00F64760" w:rsidRPr="00106C03">
        <w:t>Long-</w:t>
      </w:r>
      <w:r w:rsidRPr="00106C03">
        <w:t>term outcomes</w:t>
      </w:r>
    </w:p>
    <w:p w14:paraId="2AB1784E" w14:textId="7B84F8D4" w:rsidR="00E55E34" w:rsidRDefault="00C20F15" w:rsidP="006F1C63">
      <w:pPr>
        <w:pStyle w:val="LTU-Bullets10pt"/>
        <w:rPr>
          <w:rFonts w:cstheme="minorBidi"/>
        </w:rPr>
      </w:pPr>
      <w:r>
        <w:t xml:space="preserve">Greater accountability of organisations to engage in SVH </w:t>
      </w:r>
      <w:r w:rsidR="002F0CE2">
        <w:t xml:space="preserve">primary </w:t>
      </w:r>
      <w:r>
        <w:t>prevention</w:t>
      </w:r>
    </w:p>
    <w:p w14:paraId="75610673" w14:textId="77777777" w:rsidR="00E55E34" w:rsidRDefault="00C20F15" w:rsidP="006F1C63">
      <w:pPr>
        <w:pStyle w:val="LTU-Bullets10pt"/>
        <w:rPr>
          <w:rFonts w:cstheme="minorBidi"/>
        </w:rPr>
      </w:pPr>
      <w:r>
        <w:t>Enacting SVH policy across organisations</w:t>
      </w:r>
    </w:p>
    <w:p w14:paraId="264159DF" w14:textId="38C532E9" w:rsidR="00E55E34" w:rsidRDefault="00C20F15" w:rsidP="006F1C63">
      <w:pPr>
        <w:pStyle w:val="LTU-Bullets10pt"/>
        <w:rPr>
          <w:rFonts w:cstheme="minorBidi"/>
        </w:rPr>
      </w:pPr>
      <w:r>
        <w:t>Greater accountability</w:t>
      </w:r>
      <w:r w:rsidR="003353C0">
        <w:t xml:space="preserve"> of technology companies</w:t>
      </w:r>
    </w:p>
    <w:p w14:paraId="34218FA9" w14:textId="0DC522C3" w:rsidR="00C20F15" w:rsidRPr="00E55E34" w:rsidRDefault="00C20F15" w:rsidP="006F1C63">
      <w:pPr>
        <w:pStyle w:val="LTU-Bullets10pt"/>
        <w:rPr>
          <w:rFonts w:cstheme="minorBidi"/>
        </w:rPr>
      </w:pPr>
      <w:r>
        <w:t xml:space="preserve">Reduced </w:t>
      </w:r>
      <w:r w:rsidR="3EFDFA60">
        <w:t>perpetration of</w:t>
      </w:r>
      <w:r>
        <w:t xml:space="preserve"> alcohol</w:t>
      </w:r>
      <w:r w:rsidR="00E21CC1">
        <w:t>-</w:t>
      </w:r>
      <w:r>
        <w:t>related SVH</w:t>
      </w:r>
    </w:p>
    <w:p w14:paraId="06912376" w14:textId="77777777" w:rsidR="00C20F15" w:rsidRPr="00106C03" w:rsidRDefault="00C20F15" w:rsidP="00A429E0">
      <w:pPr>
        <w:pStyle w:val="LTU-Subhead3"/>
      </w:pPr>
      <w:r w:rsidRPr="00106C03">
        <w:t>What evidence is there?</w:t>
      </w:r>
    </w:p>
    <w:p w14:paraId="647B16EF" w14:textId="6F8CD8EC" w:rsidR="00C20F15" w:rsidRPr="00D07C96" w:rsidRDefault="00C20F15" w:rsidP="6202489E">
      <w:pPr>
        <w:pStyle w:val="LTU-Body10pt"/>
        <w:rPr>
          <w:lang w:eastAsia="en-AU" w:bidi="en-US"/>
        </w:rPr>
      </w:pPr>
      <w:r>
        <w:t xml:space="preserve">While it is logical to assume that there are benefits to introducing </w:t>
      </w:r>
      <w:r w:rsidR="22E36DDA">
        <w:t>widespread</w:t>
      </w:r>
      <w:r>
        <w:t xml:space="preserve"> policy and law reform </w:t>
      </w:r>
      <w:r w:rsidR="009F5A55">
        <w:t xml:space="preserve">which </w:t>
      </w:r>
      <w:r>
        <w:t>can impact on the perpetration of SVH, evidence on the effectiveness of policy in this area</w:t>
      </w:r>
      <w:r w:rsidR="009F5A55">
        <w:t xml:space="preserve"> is limited</w:t>
      </w:r>
      <w:r>
        <w:t xml:space="preserve">. </w:t>
      </w:r>
      <w:r w:rsidR="556989B5" w:rsidRPr="6202489E">
        <w:rPr>
          <w:lang w:eastAsia="en-AU" w:bidi="en-US"/>
        </w:rPr>
        <w:t xml:space="preserve">One </w:t>
      </w:r>
      <w:r w:rsidR="0E3C2F26" w:rsidRPr="6202489E">
        <w:rPr>
          <w:lang w:eastAsia="en-AU" w:bidi="en-US"/>
        </w:rPr>
        <w:t xml:space="preserve">exception to this is </w:t>
      </w:r>
      <w:r w:rsidR="7E54C82F" w:rsidRPr="6202489E">
        <w:rPr>
          <w:lang w:eastAsia="en-AU" w:bidi="en-US"/>
        </w:rPr>
        <w:t xml:space="preserve">alcohol policy. </w:t>
      </w:r>
    </w:p>
    <w:p w14:paraId="612AF148" w14:textId="44CAAD8E" w:rsidR="00C20F15" w:rsidRPr="00D07C96" w:rsidRDefault="00C20F15" w:rsidP="00C20F15">
      <w:pPr>
        <w:pStyle w:val="LTU-Body10pt"/>
        <w:rPr>
          <w:lang w:eastAsia="en-AU" w:bidi="en-US"/>
        </w:rPr>
      </w:pPr>
      <w:r w:rsidRPr="4A008F5A">
        <w:rPr>
          <w:lang w:eastAsia="en-AU" w:bidi="en-US"/>
        </w:rPr>
        <w:t xml:space="preserve">Alcohol policy reform and sales regulation could be a relatively simple and economic strategy to implement with immediate and significant impact on the reduction and prevention of SVH </w:t>
      </w:r>
      <w:r w:rsidRPr="00B93B6E">
        <w:rPr>
          <w:lang w:eastAsia="en-AU" w:bidi="en-US"/>
        </w:rPr>
        <w:fldChar w:fldCharType="begin" w:fldLock="1"/>
      </w:r>
      <w:r w:rsidRPr="00B93B6E">
        <w:rPr>
          <w:lang w:eastAsia="en-AU" w:bidi="en-US"/>
        </w:rPr>
        <w:instrText>ADDIN CSL_CITATION {"citationItems":[{"id":"ITEM-1","itemData":{"DOI":"10.1177/1524838014557291","ISSN":"1524-8380","abstract":"Sexual violence continues to be a significant public health problem worldwide with serious consequences for individuals and communities. The implementation of prevention strategies that address risk and protective factors for sexual violence at the community level are important components of a comprehensive approach, but few such strategies have been identified or evaluated. The current review explores one potential opportunity for preventing sexual violence perpetration at the community level: alcohol policy. Alcohol policy has the potential to impact sexual violence perpetration through the direct effects of excessive alcohol consumption on behavior or through the impact of alcohol and alcohol outlets on social organization within communities. Policies affecting alcohol pricing, sale time, outlet density, drinking environment, marketing, and college environment are reviewed to identify existing evidence of impact on rates of sexual violence or related outcomes, including risk factors and related health behaviors. Several policy areas with initial evidence of an association with sexual violence outcomes were identified, including policies affecting alcohol pricing, alcohol outlet density, barroom management, sexist content in alcohol marketing, and policies banning alcohol on campus and in substance-free dorms. We identify other policy areas with evidence of an impact on related outcomes and risk factors that may also hold potential as a preventative approach for sexual violence perpetration. Evidence from the current review suggests that alcohol policy may represent one promising avenue for the prevention of sexual violence perpetration at the community level, but additional research is needed to directly examine effects on sexual violence outcomes.","author":[{"dropping-particle":"","family":"Lippy","given":"Caroline","non-dropping-particle":"","parse-names":false,"suffix":""},{"dropping-particle":"","family":"DeGue","given":"Sarah","non-dropping-particle":"","parse-names":false,"suffix":""}],"container-title":"Trauma, Violence, &amp; Abuse","id":"ITEM-1","issue":"1","issued":{"date-parts":[["2014"]]},"page":"26-42","publisher":"SAGE Publications","title":"Exploring alcohol policy approaches to prevent sexual violence perpetration","type":"article-journal","volume":"17"},"uris":["http://www.mendeley.com/documents/?uuid=dd5e0d26-8918-37e9-b4c4-ebacfba9f9f7"]}],"mendeley":{"formattedCitation":"(Lippy &amp; DeGue, 2014)","plainTextFormattedCitation":"(Lippy &amp; DeGue, 2014)","previouslyFormattedCitation":"(Lippy &amp; DeGue, 2014)"},"properties":{"noteIndex":0},"schema":"https://github.com/citation-style-language/schema/raw/master/csl-citation.json"}</w:instrText>
      </w:r>
      <w:r w:rsidRPr="00B93B6E">
        <w:rPr>
          <w:lang w:eastAsia="en-AU" w:bidi="en-US"/>
        </w:rPr>
        <w:fldChar w:fldCharType="separate"/>
      </w:r>
      <w:r w:rsidR="00A74157" w:rsidRPr="00B93B6E">
        <w:rPr>
          <w:noProof/>
          <w:lang w:eastAsia="en-AU" w:bidi="en-US"/>
        </w:rPr>
        <w:t>(Lippy &amp; DeGue, 2014)</w:t>
      </w:r>
      <w:r w:rsidRPr="00B93B6E">
        <w:rPr>
          <w:lang w:eastAsia="en-AU" w:bidi="en-US"/>
        </w:rPr>
        <w:fldChar w:fldCharType="end"/>
      </w:r>
      <w:r w:rsidRPr="00B93B6E">
        <w:rPr>
          <w:lang w:eastAsia="en-AU" w:bidi="en-US"/>
        </w:rPr>
        <w:t>.</w:t>
      </w:r>
      <w:r w:rsidRPr="4A008F5A">
        <w:rPr>
          <w:lang w:eastAsia="en-AU" w:bidi="en-US"/>
        </w:rPr>
        <w:t xml:space="preserve"> </w:t>
      </w:r>
    </w:p>
    <w:p w14:paraId="4777357E" w14:textId="0B747BF4" w:rsidR="00C20F15" w:rsidRDefault="00C20F15" w:rsidP="00106C03">
      <w:pPr>
        <w:pStyle w:val="LTU-Bullets10pt"/>
        <w:numPr>
          <w:ilvl w:val="0"/>
          <w:numId w:val="0"/>
        </w:numPr>
        <w:spacing w:before="0" w:after="200"/>
        <w:contextualSpacing/>
      </w:pPr>
      <w:r>
        <w:t>This includes effective policy and measures to reduce consumption, such</w:t>
      </w:r>
      <w:r w:rsidR="00D84FB5">
        <w:t xml:space="preserve"> as</w:t>
      </w:r>
      <w:r>
        <w:t xml:space="preserve"> restricting the number of </w:t>
      </w:r>
      <w:r w:rsidR="282A0AD8">
        <w:t>neighbourhood</w:t>
      </w:r>
      <w:r>
        <w:t xml:space="preserve"> outlets selling alcohol, ensuring supportive environments </w:t>
      </w:r>
      <w:r w:rsidR="009F5A55">
        <w:t xml:space="preserve">such as </w:t>
      </w:r>
      <w:r>
        <w:t>bar room management</w:t>
      </w:r>
      <w:r w:rsidR="00545ADD">
        <w:t>,</w:t>
      </w:r>
      <w:r>
        <w:t xml:space="preserve"> and restrictions of alcohol on university campus. Our evidence review identified one </w:t>
      </w:r>
      <w:r w:rsidR="009F5A55">
        <w:t>alcohol-</w:t>
      </w:r>
      <w:r>
        <w:t>focused intervention</w:t>
      </w:r>
      <w:r w:rsidR="009F5A55">
        <w:t>—</w:t>
      </w:r>
      <w:r w:rsidRPr="028605AC">
        <w:rPr>
          <w:i/>
          <w:iCs/>
        </w:rPr>
        <w:t>BarTAB</w:t>
      </w:r>
      <w:r>
        <w:t xml:space="preserve"> </w:t>
      </w:r>
      <w:r w:rsidR="00A74157">
        <w:fldChar w:fldCharType="begin" w:fldLock="1"/>
      </w:r>
      <w:r w:rsidR="00333EB2">
        <w:instrText>ADDIN CSL_CITATION {"citationItems":[{"id":"ITEM-1","itemData":{"DOI":"10.1177/1077801217741219","ISSN":"1552-8448","PMID":"29332525","abstract":"Bystander intervention programs are proliferating on college campuses and are slowly gaining momentum as sexual violence prevention programs suitable for the larger community. In particular, bystander intervention programs aimed at bar staff have been developed in a number of locations. This study entails the exploratory evaluation of a community-based bystander program for bar staff. Using a pre-posttest design, this study suggests that evidence surrounding the effectiveness of this program is promising as it decreases rape myths, decreases barriers to intervention, and increases bartenders willingness to intervene. Future research and policy implications are discussed.","author":[{"dropping-particle":"","family":"Powers","given":"R A","non-dropping-particle":"","parse-names":false,"suffix":""},{"dropping-particle":"","family":"Leili","given":"J","non-dropping-particle":"","parse-names":false,"suffix":""}],"container-title":"Violence Against Women","id":"ITEM-1","issue":"13","issued":{"date-parts":[["2018"]]},"language":"English","note":"Powers, Rachael A Leili, Jennifer","page":"1614-1634","title":"Bar training for active bystanders: Evaluation of a community-based bystander intervention program","type":"article-journal","volume":"24"},"uris":["http://www.mendeley.com/documents/?uuid=15366d99-62b4-38f8-855f-5689f22e7380"]}],"mendeley":{"formattedCitation":"(Powers &amp; Leili, 2018)","plainTextFormattedCitation":"(Powers &amp; Leili, 2018)","previouslyFormattedCitation":"(Powers &amp; Leili, 2018)"},"properties":{"noteIndex":0},"schema":"https://github.com/citation-style-language/schema/raw/master/csl-citation.json"}</w:instrText>
      </w:r>
      <w:r w:rsidR="00A74157">
        <w:fldChar w:fldCharType="separate"/>
      </w:r>
      <w:r w:rsidR="00A74157" w:rsidRPr="00A74157">
        <w:rPr>
          <w:noProof/>
        </w:rPr>
        <w:t>(Powers &amp; Leili, 2018)</w:t>
      </w:r>
      <w:r w:rsidR="00A74157">
        <w:fldChar w:fldCharType="end"/>
      </w:r>
      <w:r w:rsidR="009F5A55">
        <w:t>—</w:t>
      </w:r>
      <w:r>
        <w:t xml:space="preserve">which is a bystander and training program that includes organisational guidelines on preventing </w:t>
      </w:r>
      <w:r>
        <w:lastRenderedPageBreak/>
        <w:t>and addressing alcohol</w:t>
      </w:r>
      <w:r w:rsidR="00545ADD">
        <w:t>-</w:t>
      </w:r>
      <w:r>
        <w:t xml:space="preserve">related SVH. Results were mixed but showed improved staff attitudes about rape, concerns for customers and reduced barriers to intervening. </w:t>
      </w:r>
    </w:p>
    <w:p w14:paraId="615BCEE4" w14:textId="77777777" w:rsidR="00106C03" w:rsidRPr="003C377B" w:rsidRDefault="00106C03" w:rsidP="00A429E0">
      <w:pPr>
        <w:pStyle w:val="Pullouts"/>
        <w:rPr>
          <w:caps/>
        </w:rPr>
      </w:pPr>
      <w:r w:rsidRPr="003C377B">
        <w:t>Examples:</w:t>
      </w:r>
    </w:p>
    <w:p w14:paraId="1A1CE41C" w14:textId="0B2D0C74" w:rsidR="00106C03" w:rsidRPr="003C377B" w:rsidRDefault="00A429E0" w:rsidP="00A429E0">
      <w:pPr>
        <w:pStyle w:val="Pullouts"/>
        <w:rPr>
          <w:rFonts w:asciiTheme="minorHAnsi" w:hAnsiTheme="minorHAnsi"/>
          <w:caps/>
        </w:rPr>
      </w:pPr>
      <w:r w:rsidRPr="00A429E0">
        <w:rPr>
          <w:rFonts w:asciiTheme="minorHAnsi" w:hAnsiTheme="minorHAnsi"/>
          <w:i w:val="0"/>
        </w:rPr>
        <w:t>-</w:t>
      </w:r>
      <w:r>
        <w:rPr>
          <w:rFonts w:asciiTheme="minorHAnsi" w:hAnsiTheme="minorHAnsi"/>
        </w:rPr>
        <w:t xml:space="preserve"> </w:t>
      </w:r>
      <w:r w:rsidR="00106C03" w:rsidRPr="003C377B">
        <w:rPr>
          <w:rFonts w:asciiTheme="minorHAnsi" w:hAnsiTheme="minorHAnsi"/>
        </w:rPr>
        <w:t>Bar</w:t>
      </w:r>
      <w:r w:rsidR="00106C03">
        <w:rPr>
          <w:rFonts w:asciiTheme="minorHAnsi" w:hAnsiTheme="minorHAnsi"/>
        </w:rPr>
        <w:t>T</w:t>
      </w:r>
      <w:r w:rsidR="00106C03" w:rsidRPr="003C377B">
        <w:rPr>
          <w:rFonts w:asciiTheme="minorHAnsi" w:hAnsiTheme="minorHAnsi"/>
        </w:rPr>
        <w:t>ab</w:t>
      </w:r>
    </w:p>
    <w:p w14:paraId="6167D37F" w14:textId="0C36D0E1" w:rsidR="00106C03" w:rsidRPr="003C377B" w:rsidRDefault="00A429E0" w:rsidP="00A429E0">
      <w:pPr>
        <w:pStyle w:val="Pullouts"/>
        <w:rPr>
          <w:rFonts w:asciiTheme="minorHAnsi" w:hAnsiTheme="minorHAnsi"/>
          <w:caps/>
        </w:rPr>
      </w:pPr>
      <w:r>
        <w:rPr>
          <w:rFonts w:asciiTheme="minorHAnsi" w:hAnsiTheme="minorHAnsi"/>
        </w:rPr>
        <w:t xml:space="preserve">- </w:t>
      </w:r>
      <w:r w:rsidR="00106C03" w:rsidRPr="003C377B">
        <w:rPr>
          <w:rFonts w:asciiTheme="minorHAnsi" w:hAnsiTheme="minorHAnsi"/>
        </w:rPr>
        <w:t>Alcohol regulation</w:t>
      </w:r>
    </w:p>
    <w:p w14:paraId="434BF08D" w14:textId="399900D8" w:rsidR="00C20F15" w:rsidRDefault="00C20F15" w:rsidP="00C20F15">
      <w:pPr>
        <w:pStyle w:val="LTU-Body10pt"/>
        <w:rPr>
          <w:lang w:eastAsia="en-AU" w:bidi="en-US"/>
        </w:rPr>
      </w:pPr>
      <w:r>
        <w:rPr>
          <w:lang w:eastAsia="en-AU" w:bidi="en-US"/>
        </w:rPr>
        <w:t xml:space="preserve">Prior political will to address profitable “Big” organisations and encourage </w:t>
      </w:r>
      <w:r w:rsidR="031538C2" w:rsidRPr="25D92984">
        <w:rPr>
          <w:lang w:eastAsia="en-AU" w:bidi="en-US"/>
        </w:rPr>
        <w:t xml:space="preserve">organisational </w:t>
      </w:r>
      <w:r w:rsidR="0D22502E" w:rsidRPr="25D92984">
        <w:rPr>
          <w:lang w:eastAsia="en-AU" w:bidi="en-US"/>
        </w:rPr>
        <w:t>accountability</w:t>
      </w:r>
      <w:r>
        <w:rPr>
          <w:lang w:eastAsia="en-AU" w:bidi="en-US"/>
        </w:rPr>
        <w:t xml:space="preserve"> for public health </w:t>
      </w:r>
      <w:r w:rsidR="00545ADD">
        <w:rPr>
          <w:lang w:eastAsia="en-AU" w:bidi="en-US"/>
        </w:rPr>
        <w:t>(</w:t>
      </w:r>
      <w:r>
        <w:rPr>
          <w:lang w:eastAsia="en-AU" w:bidi="en-US"/>
        </w:rPr>
        <w:t>e.g.</w:t>
      </w:r>
      <w:r w:rsidR="00545ADD">
        <w:rPr>
          <w:lang w:eastAsia="en-AU" w:bidi="en-US"/>
        </w:rPr>
        <w:t>,</w:t>
      </w:r>
      <w:r>
        <w:rPr>
          <w:lang w:eastAsia="en-AU" w:bidi="en-US"/>
        </w:rPr>
        <w:t xml:space="preserve"> Big tobacco companies </w:t>
      </w:r>
      <w:r w:rsidR="00007ACF">
        <w:rPr>
          <w:lang w:eastAsia="en-AU" w:bidi="en-US"/>
        </w:rPr>
        <w:t xml:space="preserve">through </w:t>
      </w:r>
      <w:r>
        <w:rPr>
          <w:lang w:eastAsia="en-AU" w:bidi="en-US"/>
        </w:rPr>
        <w:t>increased cigarette pricing and plain packaging), have shown to be very successful at influencing behaviour and reducing smoking rates. This example could be applied to alcohol regulation and SVH prevention</w:t>
      </w:r>
      <w:r w:rsidR="008836A9">
        <w:rPr>
          <w:lang w:eastAsia="en-AU" w:bidi="en-US"/>
        </w:rPr>
        <w:t xml:space="preserve"> </w:t>
      </w:r>
      <w:r w:rsidR="008836A9">
        <w:rPr>
          <w:lang w:eastAsia="en-AU" w:bidi="en-US"/>
        </w:rPr>
        <w:fldChar w:fldCharType="begin" w:fldLock="1"/>
      </w:r>
      <w:r w:rsidR="00210CC6">
        <w:rPr>
          <w:lang w:eastAsia="en-AU" w:bidi="en-US"/>
        </w:rPr>
        <w:instrText>ADDIN CSL_CITATION {"citationItems":[{"id":"ITEM-1","itemData":{"DOI":"10.4066/AMJ.2010.363","ISSN":"1836-1935","author":[{"dropping-particle":"","family":"Bond","given":"Laura","non-dropping-particle":"","parse-names":false,"suffix":""},{"dropping-particle":"","family":"Daube","given":"Mike","non-dropping-particle":"","parse-names":false,"suffix":""},{"dropping-particle":"","family":"Chikritzhs","given":"Tanya","non-dropping-particle":"","parse-names":false,"suffix":""}],"container-title":"Australasian medical journal","genre":"article","id":"ITEM-1","issue":"6","issued":{"date-parts":[["2010"]]},"language":"eng","page":"325-332","title":"Selling addictions: Similarities in approaches between big tobacco and big booze","type":"article-journal","volume":"3"},"uris":["http://www.mendeley.com/documents/?uuid=fe9b54a4-fe68-32fb-bc15-b3dd6ba33cd5"]}],"mendeley":{"formattedCitation":"(Bond et al., 2010)","plainTextFormattedCitation":"(Bond et al., 2010)","previouslyFormattedCitation":"(Bond et al., 2010)"},"properties":{"noteIndex":0},"schema":"https://github.com/citation-style-language/schema/raw/master/csl-citation.json"}</w:instrText>
      </w:r>
      <w:r w:rsidR="008836A9">
        <w:rPr>
          <w:lang w:eastAsia="en-AU" w:bidi="en-US"/>
        </w:rPr>
        <w:fldChar w:fldCharType="separate"/>
      </w:r>
      <w:r w:rsidR="008836A9" w:rsidRPr="008836A9">
        <w:rPr>
          <w:noProof/>
          <w:lang w:eastAsia="en-AU" w:bidi="en-US"/>
        </w:rPr>
        <w:t>(Bond et al., 2010)</w:t>
      </w:r>
      <w:r w:rsidR="008836A9">
        <w:rPr>
          <w:lang w:eastAsia="en-AU" w:bidi="en-US"/>
        </w:rPr>
        <w:fldChar w:fldCharType="end"/>
      </w:r>
      <w:r w:rsidRPr="332C9AB5">
        <w:rPr>
          <w:lang w:eastAsia="en-AU" w:bidi="en-US"/>
        </w:rPr>
        <w:t xml:space="preserve">. </w:t>
      </w:r>
    </w:p>
    <w:p w14:paraId="65018C39" w14:textId="77777777" w:rsidR="009F39EB" w:rsidRDefault="009F39EB" w:rsidP="00C20F15">
      <w:pPr>
        <w:pStyle w:val="LTU-Body10pt"/>
        <w:rPr>
          <w:lang w:eastAsia="en-AU" w:bidi="en-US"/>
        </w:rPr>
      </w:pPr>
    </w:p>
    <w:p w14:paraId="0718381A" w14:textId="3443414C" w:rsidR="009F39EB" w:rsidRDefault="009F39EB">
      <w:pPr>
        <w:spacing w:after="0" w:line="240" w:lineRule="auto"/>
        <w:rPr>
          <w:rFonts w:cs="Arial"/>
          <w:sz w:val="24"/>
          <w:lang w:eastAsia="en-AU" w:bidi="en-US"/>
        </w:rPr>
      </w:pPr>
      <w:r>
        <w:rPr>
          <w:lang w:eastAsia="en-AU" w:bidi="en-US"/>
        </w:rPr>
        <w:br w:type="page"/>
      </w:r>
    </w:p>
    <w:p w14:paraId="267C2755" w14:textId="4345BA90" w:rsidR="001B7D49" w:rsidRPr="006A192A" w:rsidRDefault="001B7D49" w:rsidP="00106C03">
      <w:pPr>
        <w:pStyle w:val="LTU-Sectionheading"/>
        <w:rPr>
          <w:rFonts w:eastAsiaTheme="minorEastAsia" w:cstheme="minorBidi"/>
        </w:rPr>
      </w:pPr>
      <w:bookmarkStart w:id="64" w:name="_Toc67035855"/>
      <w:r>
        <w:lastRenderedPageBreak/>
        <w:t>Conclusion</w:t>
      </w:r>
      <w:bookmarkEnd w:id="64"/>
    </w:p>
    <w:p w14:paraId="03FD9E81" w14:textId="6210468C" w:rsidR="001B7D49" w:rsidRDefault="001B7D49" w:rsidP="001B7D49">
      <w:pPr>
        <w:pStyle w:val="LTU-Body10pt"/>
      </w:pPr>
      <w:r>
        <w:rPr>
          <w:rFonts w:cs="Roboto-Regular"/>
          <w:lang w:eastAsia="ja-JP"/>
        </w:rPr>
        <w:t xml:space="preserve">Sexual violence and harassment is pervasive and harmful to many members of society. A clear pathway to preventing SVH is needed. The evidence review completed for this project </w:t>
      </w:r>
      <w:r w:rsidRPr="0084101C">
        <w:rPr>
          <w:rFonts w:cs="Roboto-Regular"/>
          <w:lang w:eastAsia="ja-JP"/>
        </w:rPr>
        <w:t xml:space="preserve">showed </w:t>
      </w:r>
      <w:r>
        <w:rPr>
          <w:rFonts w:cs="Roboto-Regular"/>
          <w:lang w:eastAsia="ja-JP"/>
        </w:rPr>
        <w:t>that SVH primary prevention scholarship and research is in its infancy, and that few effective interventions exist, especially at the community level</w:t>
      </w:r>
      <w:r w:rsidRPr="00656A76">
        <w:rPr>
          <w:rFonts w:cs="Roboto-Regular"/>
          <w:lang w:eastAsia="ja-JP"/>
        </w:rPr>
        <w:t xml:space="preserve">. </w:t>
      </w:r>
      <w:r>
        <w:rPr>
          <w:rFonts w:cs="Roboto-Regular"/>
          <w:lang w:eastAsia="ja-JP"/>
        </w:rPr>
        <w:t>In</w:t>
      </w:r>
      <w:r w:rsidRPr="00656A76">
        <w:rPr>
          <w:rFonts w:cs="Roboto-Regular"/>
          <w:lang w:eastAsia="ja-JP"/>
        </w:rPr>
        <w:t>dividual</w:t>
      </w:r>
      <w:r>
        <w:rPr>
          <w:rFonts w:cs="Roboto-Regular"/>
          <w:lang w:eastAsia="ja-JP"/>
        </w:rPr>
        <w:t xml:space="preserve">, </w:t>
      </w:r>
      <w:r w:rsidRPr="00656A76">
        <w:rPr>
          <w:rFonts w:cs="Roboto-Regular"/>
          <w:lang w:eastAsia="ja-JP"/>
        </w:rPr>
        <w:t>relationship</w:t>
      </w:r>
      <w:r>
        <w:rPr>
          <w:rFonts w:cs="Roboto-Regular"/>
          <w:lang w:eastAsia="ja-JP"/>
        </w:rPr>
        <w:t xml:space="preserve"> and</w:t>
      </w:r>
      <w:r w:rsidRPr="00656A76">
        <w:rPr>
          <w:rFonts w:cs="Roboto-Regular"/>
          <w:lang w:eastAsia="ja-JP"/>
        </w:rPr>
        <w:t xml:space="preserve"> complementary </w:t>
      </w:r>
      <w:r w:rsidR="0045460A">
        <w:rPr>
          <w:rFonts w:cs="Roboto-Regular"/>
          <w:lang w:eastAsia="ja-JP"/>
        </w:rPr>
        <w:t>whole-of-</w:t>
      </w:r>
      <w:r w:rsidRPr="00656A76">
        <w:rPr>
          <w:rFonts w:cs="Roboto-Regular"/>
          <w:lang w:eastAsia="ja-JP"/>
        </w:rPr>
        <w:t>community</w:t>
      </w:r>
      <w:r>
        <w:rPr>
          <w:rFonts w:cs="Roboto-Regular"/>
          <w:lang w:eastAsia="ja-JP"/>
        </w:rPr>
        <w:t xml:space="preserve"> </w:t>
      </w:r>
      <w:r w:rsidRPr="00656A76">
        <w:rPr>
          <w:rFonts w:cs="Roboto-Regular"/>
          <w:lang w:eastAsia="ja-JP"/>
        </w:rPr>
        <w:t>initiatives</w:t>
      </w:r>
      <w:r>
        <w:rPr>
          <w:rFonts w:cs="Roboto-Regular"/>
          <w:lang w:eastAsia="ja-JP"/>
        </w:rPr>
        <w:t xml:space="preserve"> (that </w:t>
      </w:r>
      <w:r w:rsidRPr="00656A76">
        <w:rPr>
          <w:rFonts w:cs="Roboto-Regular"/>
          <w:lang w:eastAsia="ja-JP"/>
        </w:rPr>
        <w:t>reinforce messages and shift social norms</w:t>
      </w:r>
      <w:r>
        <w:rPr>
          <w:rFonts w:cs="Roboto-Regular"/>
          <w:lang w:eastAsia="ja-JP"/>
        </w:rPr>
        <w:t>) are required to positively shift attitudes and behaviours</w:t>
      </w:r>
      <w:r w:rsidRPr="00656A76">
        <w:rPr>
          <w:rFonts w:cs="Roboto-Regular"/>
          <w:lang w:eastAsia="ja-JP"/>
        </w:rPr>
        <w:t>.</w:t>
      </w:r>
      <w:r w:rsidRPr="006A192A">
        <w:t xml:space="preserve"> </w:t>
      </w:r>
    </w:p>
    <w:p w14:paraId="33B67E4D" w14:textId="256F47B8" w:rsidR="001B7D49" w:rsidRDefault="001B7D49" w:rsidP="001B7D49">
      <w:pPr>
        <w:pStyle w:val="LTU-Body10pt"/>
      </w:pPr>
      <w:r w:rsidRPr="00656A76">
        <w:t>Th</w:t>
      </w:r>
      <w:r>
        <w:t xml:space="preserve">e </w:t>
      </w:r>
      <w:r w:rsidRPr="00656A76">
        <w:t xml:space="preserve">Theory of Change </w:t>
      </w:r>
      <w:r>
        <w:t xml:space="preserve">diagram and accompanying narrative presented here </w:t>
      </w:r>
      <w:r w:rsidRPr="00656A76">
        <w:t xml:space="preserve">aims to </w:t>
      </w:r>
      <w:r>
        <w:t xml:space="preserve">inform research and </w:t>
      </w:r>
      <w:r w:rsidRPr="00656A76">
        <w:t xml:space="preserve">strategic </w:t>
      </w:r>
      <w:r>
        <w:t xml:space="preserve">government </w:t>
      </w:r>
      <w:r w:rsidRPr="00656A76">
        <w:t xml:space="preserve">action to </w:t>
      </w:r>
      <w:r>
        <w:t>stop</w:t>
      </w:r>
      <w:r w:rsidRPr="00656A76">
        <w:t xml:space="preserve"> SVH </w:t>
      </w:r>
      <w:r>
        <w:t>in Australia</w:t>
      </w:r>
      <w:r w:rsidRPr="00656A76">
        <w:t xml:space="preserve">. </w:t>
      </w:r>
      <w:r>
        <w:t>The framework provides an overview of the activities/interventions</w:t>
      </w:r>
      <w:r w:rsidR="39300883">
        <w:t xml:space="preserve"> with</w:t>
      </w:r>
      <w:r w:rsidR="2D6060BD">
        <w:t xml:space="preserve"> </w:t>
      </w:r>
      <w:r>
        <w:t>short</w:t>
      </w:r>
      <w:r w:rsidR="1E2407DF">
        <w:t>-</w:t>
      </w:r>
      <w:r>
        <w:t xml:space="preserve"> and long</w:t>
      </w:r>
      <w:r w:rsidR="3748B418">
        <w:t>-</w:t>
      </w:r>
      <w:r>
        <w:t>term outcomes that can reduce and prevent SVH. The framework was developed after reviewing global evidence on what works to reduce and prevent SVH and extensive national consultation with experts and practitioners. The SVH Theory of Change outlines effective and promising interventions at all levels of the social ecology, with a focus on intersectional and structural inequalities. The framework is not designed to be interpreted as linear or prescriptive</w:t>
      </w:r>
      <w:r w:rsidR="0045460A">
        <w:t>;</w:t>
      </w:r>
      <w:r>
        <w:t xml:space="preserve"> more so</w:t>
      </w:r>
      <w:r w:rsidR="0045460A">
        <w:t>,</w:t>
      </w:r>
      <w:r>
        <w:t xml:space="preserve"> as an early, intersecting roadmap or guide to tackling SVH.</w:t>
      </w:r>
      <w:r w:rsidRPr="009C14C9">
        <w:t xml:space="preserve"> </w:t>
      </w:r>
    </w:p>
    <w:p w14:paraId="7B1815BA" w14:textId="391F3609" w:rsidR="001B7D49" w:rsidRDefault="001B7D49" w:rsidP="001B7D49">
      <w:pPr>
        <w:pStyle w:val="LTU-Body10pt"/>
      </w:pPr>
      <w:r w:rsidRPr="00656A76">
        <w:t>Primary prevention is difficult to measure</w:t>
      </w:r>
      <w:r>
        <w:t>,</w:t>
      </w:r>
      <w:r w:rsidRPr="00656A76">
        <w:t xml:space="preserve"> as success </w:t>
      </w:r>
      <w:r w:rsidR="03E4E12E">
        <w:t xml:space="preserve">can </w:t>
      </w:r>
      <w:r>
        <w:t>occur</w:t>
      </w:r>
      <w:r w:rsidRPr="00656A76">
        <w:t xml:space="preserve"> when nothing </w:t>
      </w:r>
      <w:r w:rsidR="2895C37C">
        <w:t xml:space="preserve">harmful </w:t>
      </w:r>
      <w:r w:rsidRPr="00656A76">
        <w:t xml:space="preserve">happens. </w:t>
      </w:r>
      <w:r>
        <w:t xml:space="preserve">Sustained investment in future research and program evaluation is required to measure </w:t>
      </w:r>
      <w:r w:rsidR="0045460A">
        <w:t>long-</w:t>
      </w:r>
      <w:r>
        <w:t>term outcomes and the successful indicators of reduced or eliminated SVH in Australia.</w:t>
      </w:r>
    </w:p>
    <w:p w14:paraId="512C828C" w14:textId="77777777" w:rsidR="00D94B9D" w:rsidRDefault="00D94B9D">
      <w:pPr>
        <w:spacing w:after="0" w:line="240" w:lineRule="auto"/>
        <w:rPr>
          <w:rFonts w:eastAsia="MS Mincho" w:cs="Arial"/>
          <w:b/>
          <w:color w:val="565652"/>
          <w:spacing w:val="5"/>
          <w:sz w:val="48"/>
          <w:szCs w:val="56"/>
          <w:lang w:bidi="en-US"/>
        </w:rPr>
      </w:pPr>
      <w:bookmarkStart w:id="65" w:name="_Toc67035856"/>
      <w:r>
        <w:br w:type="page"/>
      </w:r>
    </w:p>
    <w:p w14:paraId="5F1439A1" w14:textId="1860B5D6" w:rsidR="172F1755" w:rsidRPr="006A192A" w:rsidRDefault="003A5665" w:rsidP="00106C03">
      <w:pPr>
        <w:pStyle w:val="LTU-Sectionheading"/>
      </w:pPr>
      <w:r>
        <w:lastRenderedPageBreak/>
        <w:t>F</w:t>
      </w:r>
      <w:r w:rsidR="172F1755" w:rsidRPr="006A192A">
        <w:t>uture Research</w:t>
      </w:r>
      <w:r w:rsidR="002335D4">
        <w:t xml:space="preserve"> Recommendations</w:t>
      </w:r>
      <w:bookmarkEnd w:id="65"/>
      <w:r w:rsidR="002335D4">
        <w:t xml:space="preserve"> </w:t>
      </w:r>
    </w:p>
    <w:p w14:paraId="7504518D" w14:textId="4527DEC1" w:rsidR="00FD304F" w:rsidRDefault="00FD304F" w:rsidP="006F1C63">
      <w:pPr>
        <w:pStyle w:val="LTU-Bullets10pt"/>
      </w:pPr>
      <w:r w:rsidRPr="006A192A">
        <w:t xml:space="preserve">Evidence gaps exist in understanding the most appropriate interventions for priority populations at highest risk of SVH perpetration and victimisation. This proposed Theory of Change may not be suitable for all groups. There are still gaps in our knowledge about how drivers influence certain groups and the complex and causal or associated pathways. Further research is needed to work with </w:t>
      </w:r>
      <w:r w:rsidRPr="006A192A">
        <w:rPr>
          <w:rFonts w:ascii="Roboto" w:eastAsia="Roboto" w:hAnsi="Roboto" w:cs="Roboto"/>
          <w:color w:val="000000" w:themeColor="text2"/>
        </w:rPr>
        <w:t xml:space="preserve">Aboriginal and Torres Strait Islander populations </w:t>
      </w:r>
      <w:r w:rsidRPr="006A192A">
        <w:t xml:space="preserve">to develop a specific theory of change that addresses their unique needs. Structural inequalities may be a more relevant/stronger driver of SVH in these communities, rather than the overarching gender inequality proposed here. </w:t>
      </w:r>
    </w:p>
    <w:p w14:paraId="02FE62B1" w14:textId="37F75EAF" w:rsidR="008C1A81" w:rsidRDefault="004C39B7" w:rsidP="006F1C63">
      <w:pPr>
        <w:pStyle w:val="LTU-Bullets10pt"/>
      </w:pPr>
      <w:r>
        <w:t>More research on understanding</w:t>
      </w:r>
      <w:r w:rsidR="00D7029C">
        <w:t xml:space="preserve"> SVH</w:t>
      </w:r>
      <w:r>
        <w:t xml:space="preserve"> perpetration</w:t>
      </w:r>
      <w:r w:rsidR="00D7029C">
        <w:t xml:space="preserve"> </w:t>
      </w:r>
      <w:r w:rsidR="003241E2">
        <w:t>is needed, including</w:t>
      </w:r>
      <w:r w:rsidR="00D7029C">
        <w:t xml:space="preserve"> the context of perpetration</w:t>
      </w:r>
      <w:r w:rsidR="003241E2">
        <w:t xml:space="preserve"> and</w:t>
      </w:r>
      <w:r w:rsidR="00D7029C">
        <w:t xml:space="preserve"> the drivers of perpetration through data collected from perpetrators rather than </w:t>
      </w:r>
      <w:r w:rsidR="007A3B9F">
        <w:t>victim–</w:t>
      </w:r>
      <w:r w:rsidR="00D7029C">
        <w:t xml:space="preserve">survivors. </w:t>
      </w:r>
      <w:r w:rsidR="00B41C2B">
        <w:t xml:space="preserve">This must include an intersectional approach. </w:t>
      </w:r>
    </w:p>
    <w:p w14:paraId="7FF6795B" w14:textId="47382C21" w:rsidR="009A2A8E" w:rsidRPr="009A2A8E" w:rsidRDefault="007A3B9F" w:rsidP="006F1C63">
      <w:pPr>
        <w:pStyle w:val="LTU-Bullets10pt"/>
        <w:rPr>
          <w:rFonts w:eastAsiaTheme="minorEastAsia" w:cstheme="minorBidi"/>
        </w:rPr>
      </w:pPr>
      <w:r>
        <w:rPr>
          <w:rFonts w:eastAsiaTheme="minorEastAsia" w:cstheme="minorBidi"/>
        </w:rPr>
        <w:t>R</w:t>
      </w:r>
      <w:r w:rsidR="00264C77">
        <w:rPr>
          <w:rFonts w:eastAsiaTheme="minorEastAsia" w:cstheme="minorBidi"/>
        </w:rPr>
        <w:t>esearch and interventions to address sexual harassment specifically</w:t>
      </w:r>
      <w:r>
        <w:rPr>
          <w:rFonts w:eastAsiaTheme="minorEastAsia" w:cstheme="minorBidi"/>
        </w:rPr>
        <w:t xml:space="preserve"> is limited</w:t>
      </w:r>
      <w:r w:rsidR="00264C77">
        <w:rPr>
          <w:rFonts w:eastAsiaTheme="minorEastAsia" w:cstheme="minorBidi"/>
        </w:rPr>
        <w:t xml:space="preserve">. </w:t>
      </w:r>
      <w:r w:rsidR="00EC4525">
        <w:rPr>
          <w:rFonts w:eastAsiaTheme="minorEastAsia" w:cstheme="minorBidi"/>
        </w:rPr>
        <w:t>M</w:t>
      </w:r>
      <w:r w:rsidR="00F423FD" w:rsidRPr="00F423FD">
        <w:rPr>
          <w:rFonts w:eastAsiaTheme="minorEastAsia" w:cstheme="minorBidi"/>
        </w:rPr>
        <w:t xml:space="preserve">ore research and interventions </w:t>
      </w:r>
      <w:r w:rsidR="00264C77">
        <w:rPr>
          <w:rFonts w:eastAsiaTheme="minorEastAsia" w:cstheme="minorBidi"/>
        </w:rPr>
        <w:t xml:space="preserve">are needed </w:t>
      </w:r>
      <w:r w:rsidR="00F423FD" w:rsidRPr="00F423FD">
        <w:rPr>
          <w:rFonts w:eastAsiaTheme="minorEastAsia" w:cstheme="minorBidi"/>
        </w:rPr>
        <w:t xml:space="preserve">that align with the </w:t>
      </w:r>
      <w:r w:rsidR="00F423FD" w:rsidRPr="003241E2">
        <w:rPr>
          <w:rFonts w:eastAsiaTheme="minorEastAsia" w:cstheme="minorBidi"/>
          <w:i/>
          <w:iCs/>
        </w:rPr>
        <w:t>Respect@Work</w:t>
      </w:r>
      <w:r w:rsidR="00264C77">
        <w:rPr>
          <w:rFonts w:eastAsiaTheme="minorEastAsia" w:cstheme="minorBidi"/>
        </w:rPr>
        <w:t xml:space="preserve"> </w:t>
      </w:r>
      <w:r w:rsidR="003241E2">
        <w:rPr>
          <w:rFonts w:eastAsiaTheme="minorEastAsia" w:cstheme="minorBidi"/>
        </w:rPr>
        <w:t xml:space="preserve">report </w:t>
      </w:r>
      <w:r w:rsidR="00264C77">
        <w:rPr>
          <w:rFonts w:eastAsiaTheme="minorEastAsia" w:cstheme="minorBidi"/>
        </w:rPr>
        <w:fldChar w:fldCharType="begin" w:fldLock="1"/>
      </w:r>
      <w:r w:rsidR="00367D7A">
        <w:rPr>
          <w:rFonts w:eastAsiaTheme="minorEastAsia" w:cstheme="minorBidi"/>
        </w:rPr>
        <w:instrText>ADDIN CSL_CITATION {"citationItems":[{"id":"ITEM-1","itemData":{"author":[{"dropping-particle":"","family":"Australian Human Rights Commission","given":"","non-dropping-particle":"","parse-names":false,"suffix":""}],"id":"ITEM-1","issued":{"date-parts":[["2020"]]},"publisher":"Australian Human Rights Commission","publisher-place":"Sydney","title":"Respect@work: National inquiry into sexual harassment in Australian workplaces","type":"report"},"uris":["http://www.mendeley.com/documents/?uuid=1471c1d2-e9d4-3a0f-98d9-dd1a5f082efc"]}],"mendeley":{"formattedCitation":"(Australian Human Rights Commission, 2020a)","manualFormatting":"(AHRC, 2020a)","plainTextFormattedCitation":"(Australian Human Rights Commission, 2020a)","previouslyFormattedCitation":"(Australian Human Rights Commission, 2020a)"},"properties":{"noteIndex":0},"schema":"https://github.com/citation-style-language/schema/raw/master/csl-citation.json"}</w:instrText>
      </w:r>
      <w:r w:rsidR="00264C77">
        <w:rPr>
          <w:rFonts w:eastAsiaTheme="minorEastAsia" w:cstheme="minorBidi"/>
        </w:rPr>
        <w:fldChar w:fldCharType="separate"/>
      </w:r>
      <w:r w:rsidR="00264C77" w:rsidRPr="00264C77">
        <w:rPr>
          <w:rFonts w:eastAsiaTheme="minorEastAsia" w:cstheme="minorBidi"/>
          <w:noProof/>
        </w:rPr>
        <w:t>(</w:t>
      </w:r>
      <w:r w:rsidR="00264C77">
        <w:rPr>
          <w:rFonts w:eastAsiaTheme="minorEastAsia" w:cstheme="minorBidi"/>
          <w:noProof/>
        </w:rPr>
        <w:t>AHRC</w:t>
      </w:r>
      <w:r w:rsidR="00264C77" w:rsidRPr="00264C77">
        <w:rPr>
          <w:rFonts w:eastAsiaTheme="minorEastAsia" w:cstheme="minorBidi"/>
          <w:noProof/>
        </w:rPr>
        <w:t>, 2020a)</w:t>
      </w:r>
      <w:r w:rsidR="00264C77">
        <w:rPr>
          <w:rFonts w:eastAsiaTheme="minorEastAsia" w:cstheme="minorBidi"/>
        </w:rPr>
        <w:fldChar w:fldCharType="end"/>
      </w:r>
      <w:r w:rsidR="00F423FD" w:rsidRPr="00F423FD">
        <w:rPr>
          <w:rFonts w:eastAsiaTheme="minorEastAsia" w:cstheme="minorBidi"/>
        </w:rPr>
        <w:t xml:space="preserve">. </w:t>
      </w:r>
    </w:p>
    <w:p w14:paraId="0DFFCF94" w14:textId="2A9D4795" w:rsidR="004D60C6" w:rsidRPr="006A192A" w:rsidRDefault="004D60C6" w:rsidP="006F1C63">
      <w:pPr>
        <w:pStyle w:val="LTU-Bullets10pt"/>
        <w:rPr>
          <w:rFonts w:eastAsiaTheme="minorEastAsia" w:cstheme="minorBidi"/>
        </w:rPr>
      </w:pPr>
      <w:r w:rsidRPr="006A192A">
        <w:t xml:space="preserve">Any adaption of existing </w:t>
      </w:r>
      <w:r w:rsidR="007A3B9F" w:rsidRPr="006A192A">
        <w:t>evidence</w:t>
      </w:r>
      <w:r w:rsidR="007A3B9F">
        <w:t>-</w:t>
      </w:r>
      <w:r w:rsidRPr="006A192A">
        <w:t xml:space="preserve">based SVH primary prevention interventions must include qualitative evaluation of implementation science outcomes (process evaluation) to understand the contextual influences of program success or failure in a new setting. Co-design with diverse communities needs to be at the core of any adaption. </w:t>
      </w:r>
      <w:r w:rsidR="00BD781A">
        <w:t xml:space="preserve">New interventions must </w:t>
      </w:r>
      <w:r w:rsidR="00D654E8">
        <w:t>be comprehensive</w:t>
      </w:r>
      <w:r w:rsidR="00663F7C">
        <w:t xml:space="preserve"> (beyond single, one</w:t>
      </w:r>
      <w:r w:rsidR="00FE09A0">
        <w:t>-</w:t>
      </w:r>
      <w:r w:rsidR="00663F7C">
        <w:t>off</w:t>
      </w:r>
      <w:r w:rsidR="006E4784">
        <w:t>,</w:t>
      </w:r>
      <w:r w:rsidR="00663F7C">
        <w:t xml:space="preserve"> short programs aimed only at the individual level)</w:t>
      </w:r>
      <w:r w:rsidR="00E22B99">
        <w:t>, sustainable,</w:t>
      </w:r>
      <w:r w:rsidR="00D654E8">
        <w:t xml:space="preserve"> and part of a larger suite of whole-of-system approaches. </w:t>
      </w:r>
    </w:p>
    <w:p w14:paraId="41B9728D" w14:textId="6ECFEB54" w:rsidR="00FD304F" w:rsidRPr="006A192A" w:rsidRDefault="00FD304F" w:rsidP="006F1C63">
      <w:pPr>
        <w:pStyle w:val="LTU-Bullets10pt"/>
      </w:pPr>
      <w:r w:rsidRPr="006A192A">
        <w:t>More qualitative research</w:t>
      </w:r>
      <w:r w:rsidR="00FE09A0">
        <w:t xml:space="preserve"> is needed</w:t>
      </w:r>
      <w:r w:rsidRPr="006A192A">
        <w:t xml:space="preserve"> to better understand the nuances of SVH and how it may differ from the drivers and reinforcing factors of VAW. Deep exploration and rigorous methods (e.g., </w:t>
      </w:r>
      <w:r w:rsidR="00484FDD" w:rsidRPr="006A192A">
        <w:t>long</w:t>
      </w:r>
      <w:r w:rsidR="00484FDD">
        <w:t>-</w:t>
      </w:r>
      <w:r w:rsidRPr="006A192A">
        <w:t>term ethnographic studies) are needed to understand the varied influences and factors in people’s lives that can result in SVH. This can then inform intervention development to prevent SVH.</w:t>
      </w:r>
    </w:p>
    <w:p w14:paraId="695D1381" w14:textId="3983EB4E" w:rsidR="00230751" w:rsidRPr="00175326" w:rsidRDefault="00FD304F" w:rsidP="006F1C63">
      <w:pPr>
        <w:pStyle w:val="LTU-Bullets10pt"/>
        <w:rPr>
          <w:rFonts w:eastAsiaTheme="minorEastAsia" w:cstheme="minorBidi"/>
        </w:rPr>
      </w:pPr>
      <w:r w:rsidRPr="006A192A">
        <w:t>Future program evaluations to incorporate rigorous designs</w:t>
      </w:r>
      <w:r w:rsidR="00DF6F03">
        <w:t xml:space="preserve"> must </w:t>
      </w:r>
      <w:r w:rsidRPr="006A192A">
        <w:t xml:space="preserve">have adequately powered samples, with control or comparison groups, include validated behaviour </w:t>
      </w:r>
      <w:r w:rsidRPr="006A192A">
        <w:lastRenderedPageBreak/>
        <w:t>outcomes measures (rather than individual attitudes and intentions) and be funded to allow for longer follow</w:t>
      </w:r>
      <w:r w:rsidR="00FE09A0">
        <w:t>-</w:t>
      </w:r>
      <w:r w:rsidRPr="006A192A">
        <w:t>up periods (beyond 6</w:t>
      </w:r>
      <w:r w:rsidR="00484FDD">
        <w:t>–</w:t>
      </w:r>
      <w:r w:rsidRPr="006A192A">
        <w:t>12 months), that can assess sustainable behaviour change.</w:t>
      </w:r>
      <w:r w:rsidR="00BD781A">
        <w:t xml:space="preserve"> </w:t>
      </w:r>
    </w:p>
    <w:p w14:paraId="4D8A43A9" w14:textId="7903C33C" w:rsidR="00175326" w:rsidRDefault="00175326" w:rsidP="00175326">
      <w:pPr>
        <w:pStyle w:val="LTU-Body10pt"/>
      </w:pPr>
    </w:p>
    <w:p w14:paraId="2065C0FF" w14:textId="24FABE9D" w:rsidR="00175326" w:rsidRDefault="00175326">
      <w:pPr>
        <w:spacing w:after="0" w:line="240" w:lineRule="auto"/>
        <w:rPr>
          <w:rFonts w:cs="Arial"/>
          <w:sz w:val="24"/>
        </w:rPr>
      </w:pPr>
      <w:r>
        <w:br w:type="page"/>
      </w:r>
    </w:p>
    <w:p w14:paraId="6F099B1B" w14:textId="6E50A35F" w:rsidR="009E4B58" w:rsidRPr="006A192A" w:rsidRDefault="009E4B58" w:rsidP="00106C03">
      <w:pPr>
        <w:pStyle w:val="LTU-Sectionheading"/>
      </w:pPr>
      <w:bookmarkStart w:id="66" w:name="_Toc67035857"/>
      <w:r w:rsidRPr="006A192A">
        <w:lastRenderedPageBreak/>
        <w:t>Appendices</w:t>
      </w:r>
      <w:bookmarkEnd w:id="66"/>
      <w:r w:rsidRPr="006A192A">
        <w:t xml:space="preserve"> </w:t>
      </w:r>
    </w:p>
    <w:p w14:paraId="26985E83" w14:textId="3AEF245E" w:rsidR="009E4B58" w:rsidRDefault="009E4B58" w:rsidP="00106C03">
      <w:pPr>
        <w:pStyle w:val="LTU-Subhead1"/>
        <w:rPr>
          <w:lang w:bidi="en-US"/>
        </w:rPr>
      </w:pPr>
      <w:bookmarkStart w:id="67" w:name="_Toc67035858"/>
      <w:r w:rsidRPr="006A192A">
        <w:rPr>
          <w:lang w:bidi="en-US"/>
        </w:rPr>
        <w:t>Appendix I</w:t>
      </w:r>
      <w:r w:rsidR="000D1580">
        <w:rPr>
          <w:lang w:bidi="en-US"/>
        </w:rPr>
        <w:t xml:space="preserve"> – Gendered </w:t>
      </w:r>
      <w:r w:rsidR="00210CC6">
        <w:rPr>
          <w:lang w:bidi="en-US"/>
        </w:rPr>
        <w:t>D</w:t>
      </w:r>
      <w:r w:rsidR="000D1580">
        <w:rPr>
          <w:lang w:bidi="en-US"/>
        </w:rPr>
        <w:t xml:space="preserve">rivers and </w:t>
      </w:r>
      <w:r w:rsidR="00210CC6">
        <w:rPr>
          <w:lang w:bidi="en-US"/>
        </w:rPr>
        <w:t>R</w:t>
      </w:r>
      <w:r w:rsidR="000D1580">
        <w:rPr>
          <w:lang w:bidi="en-US"/>
        </w:rPr>
        <w:t xml:space="preserve">einforcing </w:t>
      </w:r>
      <w:r w:rsidR="00210CC6">
        <w:rPr>
          <w:lang w:bidi="en-US"/>
        </w:rPr>
        <w:t>F</w:t>
      </w:r>
      <w:r w:rsidR="000D1580">
        <w:rPr>
          <w:lang w:bidi="en-US"/>
        </w:rPr>
        <w:t>actors</w:t>
      </w:r>
      <w:bookmarkEnd w:id="67"/>
    </w:p>
    <w:p w14:paraId="03BF0392" w14:textId="2A5E3F5E" w:rsidR="00D70E01" w:rsidRPr="00D70E01" w:rsidRDefault="00D70E01" w:rsidP="00254D79">
      <w:pPr>
        <w:pStyle w:val="LTU-Body10pt"/>
        <w:spacing w:after="0"/>
        <w:rPr>
          <w:lang w:bidi="en-US"/>
        </w:rPr>
      </w:pPr>
      <w:r>
        <w:rPr>
          <w:lang w:bidi="en-US"/>
        </w:rPr>
        <w:t xml:space="preserve">Our Watch et al. (2015) outline these gendered drivers and reinforcing factors, with the following actions to address them. </w:t>
      </w:r>
    </w:p>
    <w:tbl>
      <w:tblPr>
        <w:tblStyle w:val="LTU-Table1"/>
        <w:tblW w:w="9786" w:type="dxa"/>
        <w:tblInd w:w="-5" w:type="dxa"/>
        <w:tblLook w:val="04A0" w:firstRow="1" w:lastRow="0" w:firstColumn="1" w:lastColumn="0" w:noHBand="0" w:noVBand="1"/>
      </w:tblPr>
      <w:tblGrid>
        <w:gridCol w:w="4893"/>
        <w:gridCol w:w="4893"/>
      </w:tblGrid>
      <w:tr w:rsidR="000D1580" w:rsidRPr="006F1C63" w14:paraId="418C8E36" w14:textId="77777777" w:rsidTr="006F1C63">
        <w:trPr>
          <w:cnfStyle w:val="100000000000" w:firstRow="1" w:lastRow="0" w:firstColumn="0" w:lastColumn="0" w:oddVBand="0" w:evenVBand="0" w:oddHBand="0" w:evenHBand="0" w:firstRowFirstColumn="0" w:firstRowLastColumn="0" w:lastRowFirstColumn="0" w:lastRowLastColumn="0"/>
        </w:trPr>
        <w:tc>
          <w:tcPr>
            <w:tcW w:w="4893" w:type="dxa"/>
            <w:tcBorders>
              <w:top w:val="single" w:sz="4" w:space="0" w:color="auto"/>
              <w:bottom w:val="single" w:sz="4" w:space="0" w:color="auto"/>
              <w:right w:val="single" w:sz="4" w:space="0" w:color="auto"/>
            </w:tcBorders>
            <w:shd w:val="clear" w:color="auto" w:fill="FFFFFF" w:themeFill="background1"/>
          </w:tcPr>
          <w:p w14:paraId="1BDFDC85" w14:textId="4C2D1605" w:rsidR="000D1580" w:rsidRPr="006F1C63" w:rsidRDefault="00254D79" w:rsidP="006F1C63">
            <w:pPr>
              <w:pStyle w:val="LTU-Table-Heading"/>
            </w:pPr>
            <w:r w:rsidRPr="006F1C63">
              <w:t>Gendered Drivers</w:t>
            </w:r>
          </w:p>
          <w:p w14:paraId="761BA94A" w14:textId="77777777" w:rsidR="000D1580" w:rsidRPr="006F1C63" w:rsidRDefault="000D1580" w:rsidP="006F1C63">
            <w:pPr>
              <w:pStyle w:val="LTU-Table-Heading"/>
            </w:pPr>
          </w:p>
        </w:tc>
        <w:tc>
          <w:tcPr>
            <w:tcW w:w="4893" w:type="dxa"/>
            <w:tcBorders>
              <w:top w:val="single" w:sz="4" w:space="0" w:color="auto"/>
              <w:left w:val="single" w:sz="4" w:space="0" w:color="auto"/>
              <w:bottom w:val="single" w:sz="4" w:space="0" w:color="auto"/>
            </w:tcBorders>
            <w:shd w:val="clear" w:color="auto" w:fill="FFFFFF" w:themeFill="background1"/>
          </w:tcPr>
          <w:p w14:paraId="1E3A66F5" w14:textId="2847CFD6" w:rsidR="000D1580" w:rsidRPr="006F1C63" w:rsidRDefault="00254D79" w:rsidP="006F1C63">
            <w:pPr>
              <w:pStyle w:val="LTU-Table-Heading"/>
            </w:pPr>
            <w:r w:rsidRPr="006F1C63">
              <w:t xml:space="preserve">Essential Actions to Address </w:t>
            </w:r>
            <w:r w:rsidRPr="006F1C63">
              <w:br/>
              <w:t>Gendered Drivers</w:t>
            </w:r>
          </w:p>
        </w:tc>
      </w:tr>
      <w:tr w:rsidR="000D1580" w:rsidRPr="00A44331" w14:paraId="29DF88CE" w14:textId="77777777" w:rsidTr="006F1C63">
        <w:tc>
          <w:tcPr>
            <w:tcW w:w="4893" w:type="dxa"/>
            <w:tcBorders>
              <w:top w:val="single" w:sz="4" w:space="0" w:color="auto"/>
            </w:tcBorders>
          </w:tcPr>
          <w:p w14:paraId="483872DA" w14:textId="77777777" w:rsidR="000D1580" w:rsidRPr="00A44331" w:rsidRDefault="000D1580" w:rsidP="00254D79">
            <w:pPr>
              <w:pStyle w:val="LTU-Tablebody"/>
              <w:spacing w:before="40" w:after="40"/>
            </w:pPr>
            <w:r w:rsidRPr="00A44331">
              <w:t>Condoning of violence against women</w:t>
            </w:r>
          </w:p>
        </w:tc>
        <w:tc>
          <w:tcPr>
            <w:tcW w:w="4893" w:type="dxa"/>
            <w:tcBorders>
              <w:top w:val="single" w:sz="4" w:space="0" w:color="auto"/>
            </w:tcBorders>
          </w:tcPr>
          <w:p w14:paraId="389AE8BE" w14:textId="77777777" w:rsidR="000D1580" w:rsidRPr="00A44331" w:rsidRDefault="000D1580" w:rsidP="00254D79">
            <w:pPr>
              <w:pStyle w:val="LTU-Tablebody"/>
              <w:spacing w:before="40" w:after="40"/>
            </w:pPr>
            <w:r w:rsidRPr="00A44331">
              <w:t>Challenge condoning of VAW</w:t>
            </w:r>
          </w:p>
        </w:tc>
      </w:tr>
      <w:tr w:rsidR="000D1580" w:rsidRPr="00A44331" w14:paraId="0BE5E833" w14:textId="77777777" w:rsidTr="00254D79">
        <w:trPr>
          <w:trHeight w:val="800"/>
        </w:trPr>
        <w:tc>
          <w:tcPr>
            <w:tcW w:w="4893" w:type="dxa"/>
          </w:tcPr>
          <w:p w14:paraId="7F90211F" w14:textId="77777777" w:rsidR="000D1580" w:rsidRPr="00A44331" w:rsidRDefault="000D1580" w:rsidP="00254D79">
            <w:pPr>
              <w:pStyle w:val="LTU-Tablebody"/>
              <w:spacing w:before="40" w:after="40"/>
            </w:pPr>
            <w:r w:rsidRPr="00A44331">
              <w:t>Men’s control of decision-making and limits to women’s independence in public and private life</w:t>
            </w:r>
          </w:p>
        </w:tc>
        <w:tc>
          <w:tcPr>
            <w:tcW w:w="4893" w:type="dxa"/>
          </w:tcPr>
          <w:p w14:paraId="3DD7690D" w14:textId="65FD1224" w:rsidR="000D1580" w:rsidRPr="00A44331" w:rsidRDefault="000D1580" w:rsidP="00254D79">
            <w:pPr>
              <w:pStyle w:val="LTU-Tablebody"/>
              <w:spacing w:before="40" w:after="40"/>
            </w:pPr>
            <w:r w:rsidRPr="00A44331">
              <w:t>Promote women’s independence and decision-making in public life and relationships</w:t>
            </w:r>
          </w:p>
        </w:tc>
      </w:tr>
      <w:tr w:rsidR="000D1580" w:rsidRPr="00A44331" w14:paraId="73D04A10" w14:textId="77777777" w:rsidTr="00254D79">
        <w:tc>
          <w:tcPr>
            <w:tcW w:w="4893" w:type="dxa"/>
          </w:tcPr>
          <w:p w14:paraId="0E09A327" w14:textId="77777777" w:rsidR="000D1580" w:rsidRPr="00A44331" w:rsidRDefault="000D1580" w:rsidP="00254D79">
            <w:pPr>
              <w:pStyle w:val="LTU-Tablebody"/>
              <w:spacing w:before="40" w:after="40"/>
            </w:pPr>
            <w:r w:rsidRPr="00A44331">
              <w:t>Rigid gender roles and stereotyped constructions of masculinity and femininity</w:t>
            </w:r>
          </w:p>
        </w:tc>
        <w:tc>
          <w:tcPr>
            <w:tcW w:w="4893" w:type="dxa"/>
          </w:tcPr>
          <w:p w14:paraId="22C4D29B" w14:textId="77777777" w:rsidR="000D1580" w:rsidRPr="00A44331" w:rsidRDefault="000D1580" w:rsidP="00254D79">
            <w:pPr>
              <w:pStyle w:val="LTU-Tablebody"/>
              <w:spacing w:before="40" w:after="40"/>
            </w:pPr>
            <w:r w:rsidRPr="00A44331">
              <w:t>Foster positive personal identities and challenge gender stereotypes and roles</w:t>
            </w:r>
          </w:p>
        </w:tc>
      </w:tr>
      <w:tr w:rsidR="000D1580" w:rsidRPr="00A44331" w14:paraId="50408BBE" w14:textId="77777777" w:rsidTr="00254D79">
        <w:tc>
          <w:tcPr>
            <w:tcW w:w="4893" w:type="dxa"/>
          </w:tcPr>
          <w:p w14:paraId="18B64C23" w14:textId="77777777" w:rsidR="000D1580" w:rsidRPr="00A44331" w:rsidRDefault="000D1580" w:rsidP="00254D79">
            <w:pPr>
              <w:pStyle w:val="LTU-Tablebody"/>
              <w:spacing w:before="40" w:after="40"/>
            </w:pPr>
            <w:r w:rsidRPr="00A44331">
              <w:t>Male peer relations that emphasise aggression and disrespect towards women</w:t>
            </w:r>
          </w:p>
        </w:tc>
        <w:tc>
          <w:tcPr>
            <w:tcW w:w="4893" w:type="dxa"/>
          </w:tcPr>
          <w:p w14:paraId="2493AC2A" w14:textId="77777777" w:rsidR="000D1580" w:rsidRPr="00A44331" w:rsidRDefault="000D1580" w:rsidP="00254D79">
            <w:pPr>
              <w:pStyle w:val="LTU-Tablebody"/>
              <w:spacing w:before="40" w:after="40"/>
            </w:pPr>
            <w:r w:rsidRPr="00A44331">
              <w:t>Strengthen positive, equal and respectful relations between and among women and men, girls and boys</w:t>
            </w:r>
          </w:p>
        </w:tc>
      </w:tr>
      <w:tr w:rsidR="000D1580" w:rsidRPr="00A44331" w14:paraId="2CF19F4D" w14:textId="77777777" w:rsidTr="00254D79">
        <w:tc>
          <w:tcPr>
            <w:tcW w:w="4893" w:type="dxa"/>
          </w:tcPr>
          <w:p w14:paraId="573DD29C" w14:textId="77777777" w:rsidR="000D1580" w:rsidRPr="00A44331" w:rsidRDefault="000D1580" w:rsidP="00254D79">
            <w:pPr>
              <w:pStyle w:val="LTU-Tablebody"/>
              <w:spacing w:before="40" w:after="40"/>
            </w:pPr>
          </w:p>
        </w:tc>
        <w:tc>
          <w:tcPr>
            <w:tcW w:w="4893" w:type="dxa"/>
          </w:tcPr>
          <w:p w14:paraId="79C59BA9" w14:textId="77777777" w:rsidR="000D1580" w:rsidRPr="00A44331" w:rsidRDefault="000D1580" w:rsidP="00254D79">
            <w:pPr>
              <w:pStyle w:val="LTU-Tablebody"/>
              <w:spacing w:before="40" w:after="40"/>
            </w:pPr>
            <w:r w:rsidRPr="00A44331">
              <w:t>Promote and normalise gender equality in public and private life</w:t>
            </w:r>
          </w:p>
        </w:tc>
      </w:tr>
    </w:tbl>
    <w:p w14:paraId="75534323" w14:textId="77777777" w:rsidR="003C377B" w:rsidRPr="000D1580" w:rsidRDefault="003C377B" w:rsidP="000D1580">
      <w:pPr>
        <w:rPr>
          <w:lang w:bidi="en-US"/>
        </w:rPr>
      </w:pPr>
    </w:p>
    <w:tbl>
      <w:tblPr>
        <w:tblStyle w:val="LTU-Table1"/>
        <w:tblW w:w="9786" w:type="dxa"/>
        <w:tblInd w:w="-5" w:type="dxa"/>
        <w:tblLook w:val="04A0" w:firstRow="1" w:lastRow="0" w:firstColumn="1" w:lastColumn="0" w:noHBand="0" w:noVBand="1"/>
      </w:tblPr>
      <w:tblGrid>
        <w:gridCol w:w="4893"/>
        <w:gridCol w:w="4893"/>
      </w:tblGrid>
      <w:tr w:rsidR="000D1580" w:rsidRPr="00A44331" w14:paraId="2165671C" w14:textId="77777777" w:rsidTr="006F1C63">
        <w:trPr>
          <w:cnfStyle w:val="100000000000" w:firstRow="1" w:lastRow="0" w:firstColumn="0" w:lastColumn="0" w:oddVBand="0" w:evenVBand="0" w:oddHBand="0" w:evenHBand="0" w:firstRowFirstColumn="0" w:firstRowLastColumn="0" w:lastRowFirstColumn="0" w:lastRowLastColumn="0"/>
        </w:trPr>
        <w:tc>
          <w:tcPr>
            <w:tcW w:w="4893" w:type="dxa"/>
            <w:tcBorders>
              <w:top w:val="single" w:sz="4" w:space="0" w:color="auto"/>
              <w:bottom w:val="single" w:sz="4" w:space="0" w:color="auto"/>
              <w:right w:val="single" w:sz="4" w:space="0" w:color="auto"/>
            </w:tcBorders>
            <w:shd w:val="clear" w:color="auto" w:fill="FFFFFF" w:themeFill="background1"/>
          </w:tcPr>
          <w:p w14:paraId="400C96E8" w14:textId="01A7E704" w:rsidR="000D1580" w:rsidRPr="00A44331" w:rsidRDefault="00254D79" w:rsidP="006F1C63">
            <w:pPr>
              <w:pStyle w:val="LTU-Table-Heading"/>
            </w:pPr>
            <w:r w:rsidRPr="00A44331">
              <w:t>Reinforcing Factors</w:t>
            </w:r>
          </w:p>
          <w:p w14:paraId="3E0620FE" w14:textId="77777777" w:rsidR="000D1580" w:rsidRPr="00A44331" w:rsidRDefault="000D1580" w:rsidP="006F1C63">
            <w:pPr>
              <w:pStyle w:val="LTU-Table-Heading"/>
            </w:pPr>
          </w:p>
        </w:tc>
        <w:tc>
          <w:tcPr>
            <w:tcW w:w="4893" w:type="dxa"/>
            <w:tcBorders>
              <w:top w:val="single" w:sz="4" w:space="0" w:color="auto"/>
              <w:left w:val="single" w:sz="4" w:space="0" w:color="auto"/>
              <w:bottom w:val="single" w:sz="4" w:space="0" w:color="auto"/>
            </w:tcBorders>
            <w:shd w:val="clear" w:color="auto" w:fill="FFFFFF" w:themeFill="background1"/>
          </w:tcPr>
          <w:p w14:paraId="0C2C7A88" w14:textId="7F57146C" w:rsidR="000D1580" w:rsidRPr="00A44331" w:rsidRDefault="00254D79" w:rsidP="006F1C63">
            <w:pPr>
              <w:pStyle w:val="LTU-Table-Heading"/>
            </w:pPr>
            <w:r w:rsidRPr="00A44331">
              <w:t xml:space="preserve">Supporting Actions </w:t>
            </w:r>
            <w:r>
              <w:t>t</w:t>
            </w:r>
            <w:r w:rsidRPr="00A44331">
              <w:t xml:space="preserve">o Address </w:t>
            </w:r>
            <w:r w:rsidR="00B1740D">
              <w:br/>
            </w:r>
            <w:r w:rsidRPr="00A44331">
              <w:t>Reinforcing Factors</w:t>
            </w:r>
          </w:p>
        </w:tc>
      </w:tr>
      <w:tr w:rsidR="000D1580" w:rsidRPr="00A44331" w14:paraId="23B3BEA0" w14:textId="77777777" w:rsidTr="006F1C63">
        <w:tc>
          <w:tcPr>
            <w:tcW w:w="4893" w:type="dxa"/>
            <w:tcBorders>
              <w:top w:val="single" w:sz="4" w:space="0" w:color="auto"/>
            </w:tcBorders>
          </w:tcPr>
          <w:p w14:paraId="4A315D63" w14:textId="77777777" w:rsidR="000D1580" w:rsidRPr="00A44331" w:rsidRDefault="000D1580" w:rsidP="00254D79">
            <w:pPr>
              <w:pStyle w:val="LTU-Tablebody"/>
              <w:spacing w:before="40" w:after="40"/>
            </w:pPr>
            <w:r w:rsidRPr="00A44331">
              <w:t xml:space="preserve">Condoning of violence in general </w:t>
            </w:r>
          </w:p>
        </w:tc>
        <w:tc>
          <w:tcPr>
            <w:tcW w:w="4893" w:type="dxa"/>
            <w:tcBorders>
              <w:top w:val="single" w:sz="4" w:space="0" w:color="auto"/>
            </w:tcBorders>
          </w:tcPr>
          <w:p w14:paraId="62D86BFD" w14:textId="77777777" w:rsidR="000D1580" w:rsidRPr="00A44331" w:rsidRDefault="000D1580" w:rsidP="00254D79">
            <w:pPr>
              <w:pStyle w:val="LTU-Tablebody"/>
              <w:spacing w:before="40" w:after="40"/>
            </w:pPr>
            <w:r w:rsidRPr="00A44331">
              <w:t>Challenge the normalisation of violence as an expression of masculinity or male dominance</w:t>
            </w:r>
          </w:p>
        </w:tc>
      </w:tr>
      <w:tr w:rsidR="000D1580" w:rsidRPr="00A44331" w14:paraId="4EF9F4C7" w14:textId="77777777" w:rsidTr="00254D79">
        <w:tc>
          <w:tcPr>
            <w:tcW w:w="4893" w:type="dxa"/>
          </w:tcPr>
          <w:p w14:paraId="41A4C150" w14:textId="77777777" w:rsidR="000D1580" w:rsidRPr="00A44331" w:rsidRDefault="000D1580" w:rsidP="00254D79">
            <w:pPr>
              <w:pStyle w:val="LTU-Tablebody"/>
              <w:spacing w:before="40" w:after="40"/>
            </w:pPr>
            <w:r w:rsidRPr="00A44331">
              <w:t>Experience of, and exposure to, violence</w:t>
            </w:r>
          </w:p>
        </w:tc>
        <w:tc>
          <w:tcPr>
            <w:tcW w:w="4893" w:type="dxa"/>
          </w:tcPr>
          <w:p w14:paraId="6898F4F3" w14:textId="77777777" w:rsidR="000D1580" w:rsidRPr="00A44331" w:rsidRDefault="000D1580" w:rsidP="00254D79">
            <w:pPr>
              <w:pStyle w:val="LTU-Tablebody"/>
              <w:spacing w:before="40" w:after="40"/>
            </w:pPr>
            <w:r w:rsidRPr="00A44331">
              <w:t>Prevent exposure to violence and support those affected to reduce its consequences</w:t>
            </w:r>
          </w:p>
        </w:tc>
      </w:tr>
      <w:tr w:rsidR="000D1580" w:rsidRPr="00A44331" w14:paraId="04812675" w14:textId="77777777" w:rsidTr="00254D79">
        <w:tc>
          <w:tcPr>
            <w:tcW w:w="4893" w:type="dxa"/>
          </w:tcPr>
          <w:p w14:paraId="663062B6" w14:textId="77777777" w:rsidR="000D1580" w:rsidRPr="00A44331" w:rsidRDefault="000D1580" w:rsidP="00254D79">
            <w:pPr>
              <w:pStyle w:val="LTU-Tablebody"/>
              <w:spacing w:before="40" w:after="40"/>
            </w:pPr>
            <w:r w:rsidRPr="00A44331">
              <w:t>Weakening of pro-social behaviour, especially harmful use of alcohol</w:t>
            </w:r>
          </w:p>
        </w:tc>
        <w:tc>
          <w:tcPr>
            <w:tcW w:w="4893" w:type="dxa"/>
          </w:tcPr>
          <w:p w14:paraId="6947D9F3" w14:textId="77777777" w:rsidR="000D1580" w:rsidRPr="00A44331" w:rsidRDefault="000D1580" w:rsidP="00254D79">
            <w:pPr>
              <w:pStyle w:val="LTU-Tablebody"/>
              <w:spacing w:before="40" w:after="40"/>
            </w:pPr>
            <w:r w:rsidRPr="00A44331">
              <w:t>Address the intersections between social norms relating to alcohol and gender</w:t>
            </w:r>
          </w:p>
        </w:tc>
      </w:tr>
      <w:tr w:rsidR="000D1580" w:rsidRPr="00A44331" w14:paraId="2F1BED48" w14:textId="77777777" w:rsidTr="00254D79">
        <w:tc>
          <w:tcPr>
            <w:tcW w:w="4893" w:type="dxa"/>
          </w:tcPr>
          <w:p w14:paraId="69AD0E8C" w14:textId="77777777" w:rsidR="000D1580" w:rsidRPr="00A44331" w:rsidRDefault="000D1580" w:rsidP="00254D79">
            <w:pPr>
              <w:pStyle w:val="LTU-Tablebody"/>
              <w:spacing w:before="40" w:after="40"/>
            </w:pPr>
            <w:r w:rsidRPr="00A44331">
              <w:t>Socio-economic inequality and discrimination</w:t>
            </w:r>
          </w:p>
        </w:tc>
        <w:tc>
          <w:tcPr>
            <w:tcW w:w="4893" w:type="dxa"/>
          </w:tcPr>
          <w:p w14:paraId="2F140BF8" w14:textId="77777777" w:rsidR="000D1580" w:rsidRPr="00A44331" w:rsidRDefault="000D1580" w:rsidP="00254D79">
            <w:pPr>
              <w:pStyle w:val="LTU-Tablebody"/>
              <w:spacing w:before="40" w:after="40"/>
            </w:pPr>
            <w:r w:rsidRPr="00A44331">
              <w:t>Reduce backlash by engaging men and boys in gender equality, building relationship skills and social connections</w:t>
            </w:r>
          </w:p>
        </w:tc>
      </w:tr>
      <w:tr w:rsidR="000D1580" w:rsidRPr="00A44331" w14:paraId="09DA77AC" w14:textId="77777777" w:rsidTr="00254D79">
        <w:tc>
          <w:tcPr>
            <w:tcW w:w="4893" w:type="dxa"/>
          </w:tcPr>
          <w:p w14:paraId="5D6AA1DF" w14:textId="77777777" w:rsidR="000D1580" w:rsidRPr="00A44331" w:rsidRDefault="000D1580" w:rsidP="00254D79">
            <w:pPr>
              <w:pStyle w:val="LTU-Tablebody"/>
              <w:spacing w:before="40" w:after="40"/>
            </w:pPr>
            <w:r w:rsidRPr="00A44331">
              <w:lastRenderedPageBreak/>
              <w:t>Backlash factors (increases in violence when male dominance, power or status is challenged)</w:t>
            </w:r>
          </w:p>
        </w:tc>
        <w:tc>
          <w:tcPr>
            <w:tcW w:w="4893" w:type="dxa"/>
          </w:tcPr>
          <w:p w14:paraId="5ED0C31F" w14:textId="77777777" w:rsidR="000D1580" w:rsidRPr="00A44331" w:rsidRDefault="000D1580" w:rsidP="00254D79">
            <w:pPr>
              <w:pStyle w:val="LTU-Tablebody"/>
              <w:spacing w:before="40" w:after="40"/>
            </w:pPr>
            <w:r w:rsidRPr="00A44331">
              <w:t>Promote broader social equality and address structural discrimination and disadvantage</w:t>
            </w:r>
          </w:p>
        </w:tc>
      </w:tr>
    </w:tbl>
    <w:p w14:paraId="6F711583" w14:textId="031E3506" w:rsidR="00024446" w:rsidRDefault="00324D17" w:rsidP="00024446">
      <w:pPr>
        <w:pStyle w:val="Heading1"/>
      </w:pPr>
      <w:bookmarkStart w:id="68" w:name="_Toc67035859"/>
      <w:r>
        <w:t>R</w:t>
      </w:r>
      <w:r w:rsidR="00024446" w:rsidRPr="006A192A">
        <w:t>eference</w:t>
      </w:r>
      <w:r w:rsidR="786D6C48" w:rsidRPr="006A192A">
        <w:t>s</w:t>
      </w:r>
      <w:bookmarkEnd w:id="68"/>
      <w:r w:rsidR="00024446" w:rsidRPr="006A192A">
        <w:t xml:space="preserve"> </w:t>
      </w:r>
    </w:p>
    <w:p w14:paraId="276A774A" w14:textId="1A3A407A"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Pr>
          <w:sz w:val="24"/>
          <w:szCs w:val="24"/>
          <w:lang w:bidi="en-US"/>
        </w:rPr>
        <w:fldChar w:fldCharType="begin" w:fldLock="1"/>
      </w:r>
      <w:r>
        <w:rPr>
          <w:sz w:val="24"/>
          <w:szCs w:val="24"/>
          <w:lang w:bidi="en-US"/>
        </w:rPr>
        <w:instrText xml:space="preserve">ADDIN Mendeley Bibliography CSL_BIBLIOGRAPHY </w:instrText>
      </w:r>
      <w:r>
        <w:rPr>
          <w:sz w:val="24"/>
          <w:szCs w:val="24"/>
          <w:lang w:bidi="en-US"/>
        </w:rPr>
        <w:fldChar w:fldCharType="separate"/>
      </w:r>
      <w:r w:rsidRPr="00F41A4E">
        <w:rPr>
          <w:rFonts w:ascii="Roboto" w:hAnsi="Roboto"/>
          <w:noProof/>
          <w:sz w:val="24"/>
          <w:szCs w:val="24"/>
        </w:rPr>
        <w:t xml:space="preserve">Australia’s National Research Organisation for Women’s Safety (ANROWS). (2019). </w:t>
      </w:r>
      <w:r w:rsidRPr="00F41A4E">
        <w:rPr>
          <w:rFonts w:ascii="Roboto" w:hAnsi="Roboto"/>
          <w:i/>
          <w:iCs/>
          <w:noProof/>
          <w:sz w:val="24"/>
          <w:szCs w:val="24"/>
        </w:rPr>
        <w:t>Intimate partner sexual violence: Research synthesis</w:t>
      </w:r>
      <w:r w:rsidRPr="00F41A4E">
        <w:rPr>
          <w:rFonts w:ascii="Roboto" w:hAnsi="Roboto"/>
          <w:noProof/>
          <w:sz w:val="24"/>
          <w:szCs w:val="24"/>
        </w:rPr>
        <w:t xml:space="preserve"> (2nd ed.). ANROWS.</w:t>
      </w:r>
    </w:p>
    <w:p w14:paraId="3A6F1A44"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Australia’s National Research Organisation for Women’s Safety (ANROWS). (2021). </w:t>
      </w:r>
      <w:r w:rsidRPr="00F41A4E">
        <w:rPr>
          <w:rFonts w:ascii="Roboto" w:hAnsi="Roboto"/>
          <w:i/>
          <w:iCs/>
          <w:noProof/>
          <w:sz w:val="24"/>
          <w:szCs w:val="24"/>
        </w:rPr>
        <w:t>Respectful relationships in secondary schools: A control trial study and network evaluation of a classroom program for prevention of gender-based violence</w:t>
      </w:r>
      <w:r w:rsidRPr="00F41A4E">
        <w:rPr>
          <w:rFonts w:ascii="Roboto" w:hAnsi="Roboto"/>
          <w:noProof/>
          <w:sz w:val="24"/>
          <w:szCs w:val="24"/>
        </w:rPr>
        <w:t>. https://www.anrows.org.au/project/respectful-relationships-in-secondary-schools-a-control-trial-study-and-network-evaluation-of-a-classroom-program-for-prevention-of-gender-based-violence/</w:t>
      </w:r>
    </w:p>
    <w:p w14:paraId="534F6803"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Australian Bureau of Statistics. (2017). </w:t>
      </w:r>
      <w:r w:rsidRPr="00F41A4E">
        <w:rPr>
          <w:rFonts w:ascii="Roboto" w:hAnsi="Roboto"/>
          <w:i/>
          <w:iCs/>
          <w:noProof/>
          <w:sz w:val="24"/>
          <w:szCs w:val="24"/>
        </w:rPr>
        <w:t>Personal safety survey</w:t>
      </w:r>
      <w:r w:rsidRPr="00F41A4E">
        <w:rPr>
          <w:rFonts w:ascii="Roboto" w:hAnsi="Roboto"/>
          <w:noProof/>
          <w:sz w:val="24"/>
          <w:szCs w:val="24"/>
        </w:rPr>
        <w:t>. ABS.</w:t>
      </w:r>
    </w:p>
    <w:p w14:paraId="2856159B"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Australian Human Rights Commission. (2017). </w:t>
      </w:r>
      <w:r w:rsidRPr="00F41A4E">
        <w:rPr>
          <w:rFonts w:ascii="Roboto" w:hAnsi="Roboto"/>
          <w:i/>
          <w:iCs/>
          <w:noProof/>
          <w:sz w:val="24"/>
          <w:szCs w:val="24"/>
        </w:rPr>
        <w:t>Change the course: National report on sexual assault and sexual harassment at Australian universities</w:t>
      </w:r>
      <w:r w:rsidRPr="00F41A4E">
        <w:rPr>
          <w:rFonts w:ascii="Roboto" w:hAnsi="Roboto"/>
          <w:noProof/>
          <w:sz w:val="24"/>
          <w:szCs w:val="24"/>
        </w:rPr>
        <w:t>. https://humanrights.gov.au/sites/default/files/document/publication/AHRC_2017_ChangeTheCourse_UniversityReport.pdf</w:t>
      </w:r>
    </w:p>
    <w:p w14:paraId="09879EF9"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Australian Human Rights Commission. (2018). </w:t>
      </w:r>
      <w:r w:rsidRPr="00F41A4E">
        <w:rPr>
          <w:rFonts w:ascii="Roboto" w:hAnsi="Roboto"/>
          <w:i/>
          <w:iCs/>
          <w:noProof/>
          <w:sz w:val="24"/>
          <w:szCs w:val="24"/>
        </w:rPr>
        <w:t>Everyone’s business: The fourth national survey on sexual harassment in Australian workplaces</w:t>
      </w:r>
      <w:r w:rsidRPr="00F41A4E">
        <w:rPr>
          <w:rFonts w:ascii="Roboto" w:hAnsi="Roboto"/>
          <w:noProof/>
          <w:sz w:val="24"/>
          <w:szCs w:val="24"/>
        </w:rPr>
        <w:t>. https://humanrights.gov.au/our-work/sex-discrimination/publications/everyones-business-fourth-national-survey-sexual</w:t>
      </w:r>
    </w:p>
    <w:p w14:paraId="32EA6AC2"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Australian Human Rights Commission. (2020a). </w:t>
      </w:r>
      <w:r w:rsidRPr="00F41A4E">
        <w:rPr>
          <w:rFonts w:ascii="Roboto" w:hAnsi="Roboto"/>
          <w:i/>
          <w:iCs/>
          <w:noProof/>
          <w:sz w:val="24"/>
          <w:szCs w:val="24"/>
        </w:rPr>
        <w:t>Respect@work: National inquiry into sexual harassment in Australian workplaces</w:t>
      </w:r>
      <w:r w:rsidRPr="00F41A4E">
        <w:rPr>
          <w:rFonts w:ascii="Roboto" w:hAnsi="Roboto"/>
          <w:noProof/>
          <w:sz w:val="24"/>
          <w:szCs w:val="24"/>
        </w:rPr>
        <w:t>. Australian Human Rights Commission.</w:t>
      </w:r>
    </w:p>
    <w:p w14:paraId="660E6612"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Australian Human Rights Commission. (2020b). </w:t>
      </w:r>
      <w:r w:rsidRPr="00F41A4E">
        <w:rPr>
          <w:rFonts w:ascii="Roboto" w:hAnsi="Roboto"/>
          <w:i/>
          <w:iCs/>
          <w:noProof/>
          <w:sz w:val="24"/>
          <w:szCs w:val="24"/>
        </w:rPr>
        <w:t>Sexual harassment in the workplace - The legal definition of sexual harassment</w:t>
      </w:r>
      <w:r w:rsidRPr="00F41A4E">
        <w:rPr>
          <w:rFonts w:ascii="Roboto" w:hAnsi="Roboto"/>
          <w:noProof/>
          <w:sz w:val="24"/>
          <w:szCs w:val="24"/>
        </w:rPr>
        <w:t>. https://humanrights.gov.au/our-work/sexual-harassment-workplace-legal-definition-sexual-harassment</w:t>
      </w:r>
    </w:p>
    <w:p w14:paraId="516EB953"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Australian Institute of Health and Welfare. (2018). </w:t>
      </w:r>
      <w:r w:rsidRPr="00F41A4E">
        <w:rPr>
          <w:rFonts w:ascii="Roboto" w:hAnsi="Roboto"/>
          <w:i/>
          <w:iCs/>
          <w:noProof/>
          <w:sz w:val="24"/>
          <w:szCs w:val="24"/>
        </w:rPr>
        <w:t>Family, sexual and domestic violence in Australia, 2018</w:t>
      </w:r>
      <w:r w:rsidRPr="00F41A4E">
        <w:rPr>
          <w:rFonts w:ascii="Roboto" w:hAnsi="Roboto"/>
          <w:noProof/>
          <w:sz w:val="24"/>
          <w:szCs w:val="24"/>
        </w:rPr>
        <w:t>. AIHW.</w:t>
      </w:r>
    </w:p>
    <w:p w14:paraId="1FC87780"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Australian Institute of Health and Welfare. (2019). </w:t>
      </w:r>
      <w:r w:rsidRPr="00F41A4E">
        <w:rPr>
          <w:rFonts w:ascii="Roboto" w:hAnsi="Roboto"/>
          <w:i/>
          <w:iCs/>
          <w:noProof/>
          <w:sz w:val="24"/>
          <w:szCs w:val="24"/>
        </w:rPr>
        <w:t>Family, domestic and sexual violence in Australia: Continuing the national story 2019-In brief</w:t>
      </w:r>
      <w:r w:rsidRPr="00F41A4E">
        <w:rPr>
          <w:rFonts w:ascii="Roboto" w:hAnsi="Roboto"/>
          <w:noProof/>
          <w:sz w:val="24"/>
          <w:szCs w:val="24"/>
        </w:rPr>
        <w:t>. AIHW.</w:t>
      </w:r>
    </w:p>
    <w:p w14:paraId="689D34E0"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Australian Institute of Health and Welfare. (2020a). </w:t>
      </w:r>
      <w:r w:rsidRPr="00F41A4E">
        <w:rPr>
          <w:rFonts w:ascii="Roboto" w:hAnsi="Roboto"/>
          <w:i/>
          <w:iCs/>
          <w:noProof/>
          <w:sz w:val="24"/>
          <w:szCs w:val="24"/>
        </w:rPr>
        <w:t>Australia’s children</w:t>
      </w:r>
      <w:r w:rsidRPr="00F41A4E">
        <w:rPr>
          <w:rFonts w:ascii="Roboto" w:hAnsi="Roboto"/>
          <w:noProof/>
          <w:sz w:val="24"/>
          <w:szCs w:val="24"/>
        </w:rPr>
        <w:t xml:space="preserve">. </w:t>
      </w:r>
      <w:r w:rsidRPr="00F41A4E">
        <w:rPr>
          <w:rFonts w:ascii="Roboto" w:hAnsi="Roboto"/>
          <w:i/>
          <w:iCs/>
          <w:noProof/>
          <w:sz w:val="24"/>
          <w:szCs w:val="24"/>
        </w:rPr>
        <w:t>Cat. no: CWS69</w:t>
      </w:r>
      <w:r w:rsidRPr="00F41A4E">
        <w:rPr>
          <w:rFonts w:ascii="Roboto" w:hAnsi="Roboto"/>
          <w:noProof/>
          <w:sz w:val="24"/>
          <w:szCs w:val="24"/>
        </w:rPr>
        <w:t>. https://www.aihw.gov.au/reports/children-youth/australias-children/contents/health/the-health-of-australias-children</w:t>
      </w:r>
    </w:p>
    <w:p w14:paraId="72026B3C"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Australian Institute of Health and Welfare. (2020b). </w:t>
      </w:r>
      <w:r w:rsidRPr="00F41A4E">
        <w:rPr>
          <w:rFonts w:ascii="Roboto" w:hAnsi="Roboto"/>
          <w:i/>
          <w:iCs/>
          <w:noProof/>
          <w:sz w:val="24"/>
          <w:szCs w:val="24"/>
        </w:rPr>
        <w:t>Sexual assault in Australia</w:t>
      </w:r>
      <w:r w:rsidRPr="00F41A4E">
        <w:rPr>
          <w:rFonts w:ascii="Roboto" w:hAnsi="Roboto"/>
          <w:noProof/>
          <w:sz w:val="24"/>
          <w:szCs w:val="24"/>
        </w:rPr>
        <w:t>. AIHW. https://www.aihw.gov.au/reports/domestic-violence/sexual-assault-in-</w:t>
      </w:r>
      <w:r w:rsidRPr="00F41A4E">
        <w:rPr>
          <w:rFonts w:ascii="Roboto" w:hAnsi="Roboto"/>
          <w:noProof/>
          <w:sz w:val="24"/>
          <w:szCs w:val="24"/>
        </w:rPr>
        <w:lastRenderedPageBreak/>
        <w:t>australia/contents/summary</w:t>
      </w:r>
    </w:p>
    <w:p w14:paraId="61D8D248"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Basile, K. C., DeGue, S. A., Jones, K., Freire, K., Dills, J., Smith, S. G., &amp; Raiford, J. L. (2016). </w:t>
      </w:r>
      <w:r w:rsidRPr="00F41A4E">
        <w:rPr>
          <w:rFonts w:ascii="Roboto" w:hAnsi="Roboto"/>
          <w:i/>
          <w:iCs/>
          <w:noProof/>
          <w:sz w:val="24"/>
          <w:szCs w:val="24"/>
        </w:rPr>
        <w:t>STOP SV: A technical package to prevent sexual violence</w:t>
      </w:r>
      <w:r w:rsidRPr="00F41A4E">
        <w:rPr>
          <w:rFonts w:ascii="Roboto" w:hAnsi="Roboto"/>
          <w:noProof/>
          <w:sz w:val="24"/>
          <w:szCs w:val="24"/>
        </w:rPr>
        <w:t>. Centers for Disease Control. https://www.cdc.gov/violenceprevention/pub/technical-packages.html</w:t>
      </w:r>
    </w:p>
    <w:p w14:paraId="56080D2A"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Blomkamp, E. (2018). The promise of co-design for public policy. </w:t>
      </w:r>
      <w:r w:rsidRPr="00F41A4E">
        <w:rPr>
          <w:rFonts w:ascii="Roboto" w:hAnsi="Roboto"/>
          <w:i/>
          <w:iCs/>
          <w:noProof/>
          <w:sz w:val="24"/>
          <w:szCs w:val="24"/>
        </w:rPr>
        <w:t>Australian Journal of Public Administration</w:t>
      </w:r>
      <w:r w:rsidRPr="00F41A4E">
        <w:rPr>
          <w:rFonts w:ascii="Roboto" w:hAnsi="Roboto"/>
          <w:noProof/>
          <w:sz w:val="24"/>
          <w:szCs w:val="24"/>
        </w:rPr>
        <w:t xml:space="preserve">, </w:t>
      </w:r>
      <w:r w:rsidRPr="00F41A4E">
        <w:rPr>
          <w:rFonts w:ascii="Roboto" w:hAnsi="Roboto"/>
          <w:i/>
          <w:iCs/>
          <w:noProof/>
          <w:sz w:val="24"/>
          <w:szCs w:val="24"/>
        </w:rPr>
        <w:t>77</w:t>
      </w:r>
      <w:r w:rsidRPr="00F41A4E">
        <w:rPr>
          <w:rFonts w:ascii="Roboto" w:hAnsi="Roboto"/>
          <w:noProof/>
          <w:sz w:val="24"/>
          <w:szCs w:val="24"/>
        </w:rPr>
        <w:t>(4), 729–743. https://doi.org/10.1111/1467-8500.12310</w:t>
      </w:r>
    </w:p>
    <w:p w14:paraId="0DEDEB83"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Bond, L., Daube, M., &amp; Chikritzhs, T. (2010). Selling addictions: Similarities in approaches between big tobacco and big booze [Article]. </w:t>
      </w:r>
      <w:r w:rsidRPr="00F41A4E">
        <w:rPr>
          <w:rFonts w:ascii="Roboto" w:hAnsi="Roboto"/>
          <w:i/>
          <w:iCs/>
          <w:noProof/>
          <w:sz w:val="24"/>
          <w:szCs w:val="24"/>
        </w:rPr>
        <w:t>Australasian Medical Journal</w:t>
      </w:r>
      <w:r w:rsidRPr="00F41A4E">
        <w:rPr>
          <w:rFonts w:ascii="Roboto" w:hAnsi="Roboto"/>
          <w:noProof/>
          <w:sz w:val="24"/>
          <w:szCs w:val="24"/>
        </w:rPr>
        <w:t xml:space="preserve">, </w:t>
      </w:r>
      <w:r w:rsidRPr="00F41A4E">
        <w:rPr>
          <w:rFonts w:ascii="Roboto" w:hAnsi="Roboto"/>
          <w:i/>
          <w:iCs/>
          <w:noProof/>
          <w:sz w:val="24"/>
          <w:szCs w:val="24"/>
        </w:rPr>
        <w:t>3</w:t>
      </w:r>
      <w:r w:rsidRPr="00F41A4E">
        <w:rPr>
          <w:rFonts w:ascii="Roboto" w:hAnsi="Roboto"/>
          <w:noProof/>
          <w:sz w:val="24"/>
          <w:szCs w:val="24"/>
        </w:rPr>
        <w:t>(6), 325–332. https://doi.org/10.4066/AMJ.2010.363</w:t>
      </w:r>
    </w:p>
    <w:p w14:paraId="7B70BF9A"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Carman, M., Fairchild, J., Parsons, M., Farrugia, C., Power, J., &amp; Bourne, A. (2020). </w:t>
      </w:r>
      <w:r w:rsidRPr="00F41A4E">
        <w:rPr>
          <w:rFonts w:ascii="Roboto" w:hAnsi="Roboto"/>
          <w:i/>
          <w:iCs/>
          <w:noProof/>
          <w:sz w:val="24"/>
          <w:szCs w:val="24"/>
        </w:rPr>
        <w:t>Pride in Prevention</w:t>
      </w:r>
      <w:r w:rsidRPr="00F41A4E">
        <w:rPr>
          <w:rFonts w:ascii="Roboto" w:hAnsi="Roboto"/>
          <w:noProof/>
          <w:sz w:val="24"/>
          <w:szCs w:val="24"/>
        </w:rPr>
        <w:t>.</w:t>
      </w:r>
    </w:p>
    <w:p w14:paraId="2F736DEF"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Ceccato, V. (2017). Women’s victimisation and safety in transit environments. </w:t>
      </w:r>
      <w:r w:rsidRPr="00F41A4E">
        <w:rPr>
          <w:rFonts w:ascii="Roboto" w:hAnsi="Roboto"/>
          <w:i/>
          <w:iCs/>
          <w:noProof/>
          <w:sz w:val="24"/>
          <w:szCs w:val="24"/>
        </w:rPr>
        <w:t>Crime Prevention and Community Safety</w:t>
      </w:r>
      <w:r w:rsidRPr="00F41A4E">
        <w:rPr>
          <w:rFonts w:ascii="Roboto" w:hAnsi="Roboto"/>
          <w:noProof/>
          <w:sz w:val="24"/>
          <w:szCs w:val="24"/>
        </w:rPr>
        <w:t xml:space="preserve">, </w:t>
      </w:r>
      <w:r w:rsidRPr="00F41A4E">
        <w:rPr>
          <w:rFonts w:ascii="Roboto" w:hAnsi="Roboto"/>
          <w:i/>
          <w:iCs/>
          <w:noProof/>
          <w:sz w:val="24"/>
          <w:szCs w:val="24"/>
        </w:rPr>
        <w:t>19</w:t>
      </w:r>
      <w:r w:rsidRPr="00F41A4E">
        <w:rPr>
          <w:rFonts w:ascii="Roboto" w:hAnsi="Roboto"/>
          <w:noProof/>
          <w:sz w:val="24"/>
          <w:szCs w:val="24"/>
        </w:rPr>
        <w:t>(3–4), 163–167.</w:t>
      </w:r>
    </w:p>
    <w:p w14:paraId="7A4D2E61"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Council of Australian Governments. (2011). </w:t>
      </w:r>
      <w:r w:rsidRPr="00F41A4E">
        <w:rPr>
          <w:rFonts w:ascii="Roboto" w:hAnsi="Roboto"/>
          <w:i/>
          <w:iCs/>
          <w:noProof/>
          <w:sz w:val="24"/>
          <w:szCs w:val="24"/>
        </w:rPr>
        <w:t>National plan to reduce VAW and their children: Including the first three-year action plan</w:t>
      </w:r>
      <w:r w:rsidRPr="00F41A4E">
        <w:rPr>
          <w:rFonts w:ascii="Roboto" w:hAnsi="Roboto"/>
          <w:noProof/>
          <w:sz w:val="24"/>
          <w:szCs w:val="24"/>
        </w:rPr>
        <w:t>. COAG.</w:t>
      </w:r>
    </w:p>
    <w:p w14:paraId="7DF94728"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Crabbe, M., &amp; Flood, M. (2021). School-dased education to address pornography’s influence on young people: A proposed practice framework. </w:t>
      </w:r>
      <w:r w:rsidRPr="00F41A4E">
        <w:rPr>
          <w:rFonts w:ascii="Roboto" w:hAnsi="Roboto"/>
          <w:i/>
          <w:iCs/>
          <w:noProof/>
          <w:sz w:val="24"/>
          <w:szCs w:val="24"/>
        </w:rPr>
        <w:t>American Journal of Sexuality Education</w:t>
      </w:r>
      <w:r w:rsidRPr="00F41A4E">
        <w:rPr>
          <w:rFonts w:ascii="Roboto" w:hAnsi="Roboto"/>
          <w:noProof/>
          <w:sz w:val="24"/>
          <w:szCs w:val="24"/>
        </w:rPr>
        <w:t>. https://doi.org/10.1080/15546128.2020.1856744</w:t>
      </w:r>
    </w:p>
    <w:p w14:paraId="5F2BB68D"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Dills, J., Jones, K., &amp; Brown, P. (2019). </w:t>
      </w:r>
      <w:r w:rsidRPr="00F41A4E">
        <w:rPr>
          <w:rFonts w:ascii="Roboto" w:hAnsi="Roboto"/>
          <w:i/>
          <w:iCs/>
          <w:noProof/>
          <w:sz w:val="24"/>
          <w:szCs w:val="24"/>
        </w:rPr>
        <w:t>Continuing the dialogue: Learning from the past and looking to the future of intimate partner violence and sexual violence prevention</w:t>
      </w:r>
      <w:r w:rsidRPr="00F41A4E">
        <w:rPr>
          <w:rFonts w:ascii="Roboto" w:hAnsi="Roboto"/>
          <w:noProof/>
          <w:sz w:val="24"/>
          <w:szCs w:val="24"/>
        </w:rPr>
        <w:t>. National Center for Injury Prevention and Control, Centers for Disease Conrol and Prevention.</w:t>
      </w:r>
    </w:p>
    <w:p w14:paraId="2B072427"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Douglas, H., Harris, B. A., &amp; Dragiewicz, M. (2019). Technology-facilitated domestic and family violence: Women’s experiences. </w:t>
      </w:r>
      <w:r w:rsidRPr="00F41A4E">
        <w:rPr>
          <w:rFonts w:ascii="Roboto" w:hAnsi="Roboto"/>
          <w:i/>
          <w:iCs/>
          <w:noProof/>
          <w:sz w:val="24"/>
          <w:szCs w:val="24"/>
        </w:rPr>
        <w:t>The British Journal of Criminology</w:t>
      </w:r>
      <w:r w:rsidRPr="00F41A4E">
        <w:rPr>
          <w:rFonts w:ascii="Roboto" w:hAnsi="Roboto"/>
          <w:noProof/>
          <w:sz w:val="24"/>
          <w:szCs w:val="24"/>
        </w:rPr>
        <w:t xml:space="preserve">, </w:t>
      </w:r>
      <w:r w:rsidRPr="00F41A4E">
        <w:rPr>
          <w:rFonts w:ascii="Roboto" w:hAnsi="Roboto"/>
          <w:i/>
          <w:iCs/>
          <w:noProof/>
          <w:sz w:val="24"/>
          <w:szCs w:val="24"/>
        </w:rPr>
        <w:t>59</w:t>
      </w:r>
      <w:r w:rsidRPr="00F41A4E">
        <w:rPr>
          <w:rFonts w:ascii="Roboto" w:hAnsi="Roboto"/>
          <w:noProof/>
          <w:sz w:val="24"/>
          <w:szCs w:val="24"/>
        </w:rPr>
        <w:t>(3), 551–570. https://doi.org/10.1093/bjc/azy068</w:t>
      </w:r>
    </w:p>
    <w:p w14:paraId="4C02B958"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Doyle, O., Harmon, C. P., Heckman, J. J., &amp; Tremblay, R. E. (2009). Investing in early human development: Timing and economic efficiency [Article]. </w:t>
      </w:r>
      <w:r w:rsidRPr="00F41A4E">
        <w:rPr>
          <w:rFonts w:ascii="Roboto" w:hAnsi="Roboto"/>
          <w:i/>
          <w:iCs/>
          <w:noProof/>
          <w:sz w:val="24"/>
          <w:szCs w:val="24"/>
        </w:rPr>
        <w:t>Economics and Human Biology</w:t>
      </w:r>
      <w:r w:rsidRPr="00F41A4E">
        <w:rPr>
          <w:rFonts w:ascii="Roboto" w:hAnsi="Roboto"/>
          <w:noProof/>
          <w:sz w:val="24"/>
          <w:szCs w:val="24"/>
        </w:rPr>
        <w:t xml:space="preserve">, </w:t>
      </w:r>
      <w:r w:rsidRPr="00F41A4E">
        <w:rPr>
          <w:rFonts w:ascii="Roboto" w:hAnsi="Roboto"/>
          <w:i/>
          <w:iCs/>
          <w:noProof/>
          <w:sz w:val="24"/>
          <w:szCs w:val="24"/>
        </w:rPr>
        <w:t>7</w:t>
      </w:r>
      <w:r w:rsidRPr="00F41A4E">
        <w:rPr>
          <w:rFonts w:ascii="Roboto" w:hAnsi="Roboto"/>
          <w:noProof/>
          <w:sz w:val="24"/>
          <w:szCs w:val="24"/>
        </w:rPr>
        <w:t>(1), 1–6. https://doi.org/10.1016/j.ehb.2009.01.002</w:t>
      </w:r>
    </w:p>
    <w:p w14:paraId="1F8D4242"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Fenton, R. A., &amp; Mott, H. L. (2018). Evaluation of the intervention initiative: A bystander intervention program to prevent violence against women in universities. </w:t>
      </w:r>
      <w:r w:rsidRPr="00F41A4E">
        <w:rPr>
          <w:rFonts w:ascii="Roboto" w:hAnsi="Roboto"/>
          <w:i/>
          <w:iCs/>
          <w:noProof/>
          <w:sz w:val="24"/>
          <w:szCs w:val="24"/>
        </w:rPr>
        <w:t>Violence &amp; Victims</w:t>
      </w:r>
      <w:r w:rsidRPr="00F41A4E">
        <w:rPr>
          <w:rFonts w:ascii="Roboto" w:hAnsi="Roboto"/>
          <w:noProof/>
          <w:sz w:val="24"/>
          <w:szCs w:val="24"/>
        </w:rPr>
        <w:t xml:space="preserve">, </w:t>
      </w:r>
      <w:r w:rsidRPr="00F41A4E">
        <w:rPr>
          <w:rFonts w:ascii="Roboto" w:hAnsi="Roboto"/>
          <w:i/>
          <w:iCs/>
          <w:noProof/>
          <w:sz w:val="24"/>
          <w:szCs w:val="24"/>
        </w:rPr>
        <w:t>33</w:t>
      </w:r>
      <w:r w:rsidRPr="00F41A4E">
        <w:rPr>
          <w:rFonts w:ascii="Roboto" w:hAnsi="Roboto"/>
          <w:noProof/>
          <w:sz w:val="24"/>
          <w:szCs w:val="24"/>
        </w:rPr>
        <w:t>(4), 645–662. https://doi.org/10.1891/0886-6708.VV-D-16-00074</w:t>
      </w:r>
    </w:p>
    <w:p w14:paraId="093396ED"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Flood, M. (2013). </w:t>
      </w:r>
      <w:r w:rsidRPr="00F41A4E">
        <w:rPr>
          <w:rFonts w:ascii="Roboto" w:hAnsi="Roboto"/>
          <w:i/>
          <w:iCs/>
          <w:noProof/>
          <w:sz w:val="24"/>
          <w:szCs w:val="24"/>
        </w:rPr>
        <w:t>Evaluation capacity building in the Respect, Responsibility and Equality program: Report on Stage 1 (2008–2010)</w:t>
      </w:r>
      <w:r w:rsidRPr="00F41A4E">
        <w:rPr>
          <w:rFonts w:ascii="Roboto" w:hAnsi="Roboto"/>
          <w:noProof/>
          <w:sz w:val="24"/>
          <w:szCs w:val="24"/>
        </w:rPr>
        <w:t>. VicHealth.</w:t>
      </w:r>
    </w:p>
    <w:p w14:paraId="1B31B760"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García-Moreno, C., Hegarty, K., D’Oliveira, A. F. L., Koziol-Mclain, J., Colombini, M., &amp; Feder, G. (2015). The health-systems response to violence against women. </w:t>
      </w:r>
      <w:r w:rsidRPr="00F41A4E">
        <w:rPr>
          <w:rFonts w:ascii="Roboto" w:hAnsi="Roboto"/>
          <w:i/>
          <w:iCs/>
          <w:noProof/>
          <w:sz w:val="24"/>
          <w:szCs w:val="24"/>
        </w:rPr>
        <w:t>The Lancet</w:t>
      </w:r>
      <w:r w:rsidRPr="00F41A4E">
        <w:rPr>
          <w:rFonts w:ascii="Roboto" w:hAnsi="Roboto"/>
          <w:noProof/>
          <w:sz w:val="24"/>
          <w:szCs w:val="24"/>
        </w:rPr>
        <w:t xml:space="preserve">, </w:t>
      </w:r>
      <w:r w:rsidRPr="00F41A4E">
        <w:rPr>
          <w:rFonts w:ascii="Roboto" w:hAnsi="Roboto"/>
          <w:i/>
          <w:iCs/>
          <w:noProof/>
          <w:sz w:val="24"/>
          <w:szCs w:val="24"/>
        </w:rPr>
        <w:t>385</w:t>
      </w:r>
      <w:r w:rsidRPr="00F41A4E">
        <w:rPr>
          <w:rFonts w:ascii="Roboto" w:hAnsi="Roboto"/>
          <w:noProof/>
          <w:sz w:val="24"/>
          <w:szCs w:val="24"/>
        </w:rPr>
        <w:t>(9977), 1567–1579. https://doi.org/10.1016/S0140-6736(14)61837-7</w:t>
      </w:r>
    </w:p>
    <w:p w14:paraId="5D5496F8"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Gibbs, A., Dunkle, K., Ramsoomar, L., Willan, S., Jama Shai, N., Chatterji, S., Naved, R., &amp; Jewkes, R. (2020). New learnings on drivers of men’s physical and/or sexual violence </w:t>
      </w:r>
      <w:r w:rsidRPr="00F41A4E">
        <w:rPr>
          <w:rFonts w:ascii="Roboto" w:hAnsi="Roboto"/>
          <w:noProof/>
          <w:sz w:val="24"/>
          <w:szCs w:val="24"/>
        </w:rPr>
        <w:lastRenderedPageBreak/>
        <w:t xml:space="preserve">against their female partners, and women’s experiences of this, and the implications for prevention interventions. </w:t>
      </w:r>
      <w:r w:rsidRPr="00F41A4E">
        <w:rPr>
          <w:rFonts w:ascii="Roboto" w:hAnsi="Roboto"/>
          <w:i/>
          <w:iCs/>
          <w:noProof/>
          <w:sz w:val="24"/>
          <w:szCs w:val="24"/>
        </w:rPr>
        <w:t>Global Health Action</w:t>
      </w:r>
      <w:r w:rsidRPr="00F41A4E">
        <w:rPr>
          <w:rFonts w:ascii="Roboto" w:hAnsi="Roboto"/>
          <w:noProof/>
          <w:sz w:val="24"/>
          <w:szCs w:val="24"/>
        </w:rPr>
        <w:t xml:space="preserve">, </w:t>
      </w:r>
      <w:r w:rsidRPr="00F41A4E">
        <w:rPr>
          <w:rFonts w:ascii="Roboto" w:hAnsi="Roboto"/>
          <w:i/>
          <w:iCs/>
          <w:noProof/>
          <w:sz w:val="24"/>
          <w:szCs w:val="24"/>
        </w:rPr>
        <w:t>13</w:t>
      </w:r>
      <w:r w:rsidRPr="00F41A4E">
        <w:rPr>
          <w:rFonts w:ascii="Roboto" w:hAnsi="Roboto"/>
          <w:noProof/>
          <w:sz w:val="24"/>
          <w:szCs w:val="24"/>
        </w:rPr>
        <w:t>(1), 1739845. https://doi.org/10.1080/16549716.2020.1739845</w:t>
      </w:r>
    </w:p>
    <w:p w14:paraId="72AE4D68" w14:textId="77777777" w:rsidR="00B1740D" w:rsidRDefault="00B1740D">
      <w:pPr>
        <w:spacing w:after="0" w:line="240" w:lineRule="auto"/>
        <w:rPr>
          <w:rFonts w:ascii="Roboto" w:hAnsi="Roboto"/>
          <w:noProof/>
          <w:sz w:val="24"/>
          <w:szCs w:val="24"/>
        </w:rPr>
      </w:pPr>
      <w:r>
        <w:rPr>
          <w:rFonts w:ascii="Roboto" w:hAnsi="Roboto"/>
          <w:noProof/>
          <w:sz w:val="24"/>
          <w:szCs w:val="24"/>
        </w:rPr>
        <w:br w:type="page"/>
      </w:r>
    </w:p>
    <w:p w14:paraId="113091AC" w14:textId="60031E4D"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lastRenderedPageBreak/>
        <w:t xml:space="preserve">Hegarty, K., Tarzia, L., Hooker, L., &amp; Taft, A. (2016). Interventions to support recovery after domestic and sexual violence in primary care. </w:t>
      </w:r>
      <w:r w:rsidRPr="00F41A4E">
        <w:rPr>
          <w:rFonts w:ascii="Roboto" w:hAnsi="Roboto"/>
          <w:i/>
          <w:iCs/>
          <w:noProof/>
          <w:sz w:val="24"/>
          <w:szCs w:val="24"/>
        </w:rPr>
        <w:t>International Review of Psychiatry</w:t>
      </w:r>
      <w:r w:rsidRPr="00F41A4E">
        <w:rPr>
          <w:rFonts w:ascii="Roboto" w:hAnsi="Roboto"/>
          <w:noProof/>
          <w:sz w:val="24"/>
          <w:szCs w:val="24"/>
        </w:rPr>
        <w:t xml:space="preserve">, </w:t>
      </w:r>
      <w:r w:rsidRPr="00F41A4E">
        <w:rPr>
          <w:rFonts w:ascii="Roboto" w:hAnsi="Roboto"/>
          <w:i/>
          <w:iCs/>
          <w:noProof/>
          <w:sz w:val="24"/>
          <w:szCs w:val="24"/>
        </w:rPr>
        <w:t>28</w:t>
      </w:r>
      <w:r w:rsidRPr="00F41A4E">
        <w:rPr>
          <w:rFonts w:ascii="Roboto" w:hAnsi="Roboto"/>
          <w:noProof/>
          <w:sz w:val="24"/>
          <w:szCs w:val="24"/>
        </w:rPr>
        <w:t>(5), 519–532. https://doi.org/10.1080/09540261.2016.1210103</w:t>
      </w:r>
    </w:p>
    <w:p w14:paraId="0F512457"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Heise, L. L. (1998). Violence against women: An integrated, ecological framework. </w:t>
      </w:r>
      <w:r w:rsidRPr="00F41A4E">
        <w:rPr>
          <w:rFonts w:ascii="Roboto" w:hAnsi="Roboto"/>
          <w:i/>
          <w:iCs/>
          <w:noProof/>
          <w:sz w:val="24"/>
          <w:szCs w:val="24"/>
        </w:rPr>
        <w:t>Violence Against Women</w:t>
      </w:r>
      <w:r w:rsidRPr="00F41A4E">
        <w:rPr>
          <w:rFonts w:ascii="Roboto" w:hAnsi="Roboto"/>
          <w:noProof/>
          <w:sz w:val="24"/>
          <w:szCs w:val="24"/>
        </w:rPr>
        <w:t xml:space="preserve">, </w:t>
      </w:r>
      <w:r w:rsidRPr="00F41A4E">
        <w:rPr>
          <w:rFonts w:ascii="Roboto" w:hAnsi="Roboto"/>
          <w:i/>
          <w:iCs/>
          <w:noProof/>
          <w:sz w:val="24"/>
          <w:szCs w:val="24"/>
        </w:rPr>
        <w:t>4</w:t>
      </w:r>
      <w:r w:rsidRPr="00F41A4E">
        <w:rPr>
          <w:rFonts w:ascii="Roboto" w:hAnsi="Roboto"/>
          <w:noProof/>
          <w:sz w:val="24"/>
          <w:szCs w:val="24"/>
        </w:rPr>
        <w:t>(3), 262–290. https://doi.org/10.1177/1077801298004003002</w:t>
      </w:r>
    </w:p>
    <w:p w14:paraId="36EBE191"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Henry, N., McGlynn, C., Flynn, A., Johnson, K., Powell, A., &amp; Scott, A. J. (2020). </w:t>
      </w:r>
      <w:r w:rsidRPr="00F41A4E">
        <w:rPr>
          <w:rFonts w:ascii="Roboto" w:hAnsi="Roboto"/>
          <w:i/>
          <w:iCs/>
          <w:noProof/>
          <w:sz w:val="24"/>
          <w:szCs w:val="24"/>
        </w:rPr>
        <w:t>Image-based Sexual Abuse. A Study on the Causes and Consequences of Non-Consensual Nude or Sexual Imagery</w:t>
      </w:r>
      <w:r w:rsidRPr="00F41A4E">
        <w:rPr>
          <w:rFonts w:ascii="Roboto" w:hAnsi="Roboto"/>
          <w:noProof/>
          <w:sz w:val="24"/>
          <w:szCs w:val="24"/>
        </w:rPr>
        <w:t xml:space="preserve"> [Book]. Routledge.</w:t>
      </w:r>
    </w:p>
    <w:p w14:paraId="123947DA"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Henry, N., &amp; Powell, A. (2018). Technology-facilitated sexual violence: A literature review of rmpirical research. </w:t>
      </w:r>
      <w:r w:rsidRPr="00F41A4E">
        <w:rPr>
          <w:rFonts w:ascii="Roboto" w:hAnsi="Roboto"/>
          <w:i/>
          <w:iCs/>
          <w:noProof/>
          <w:sz w:val="24"/>
          <w:szCs w:val="24"/>
        </w:rPr>
        <w:t>Trauma, Violence, and Abuse</w:t>
      </w:r>
      <w:r w:rsidRPr="00F41A4E">
        <w:rPr>
          <w:rFonts w:ascii="Roboto" w:hAnsi="Roboto"/>
          <w:noProof/>
          <w:sz w:val="24"/>
          <w:szCs w:val="24"/>
        </w:rPr>
        <w:t xml:space="preserve">, </w:t>
      </w:r>
      <w:r w:rsidRPr="00F41A4E">
        <w:rPr>
          <w:rFonts w:ascii="Roboto" w:hAnsi="Roboto"/>
          <w:i/>
          <w:iCs/>
          <w:noProof/>
          <w:sz w:val="24"/>
          <w:szCs w:val="24"/>
        </w:rPr>
        <w:t>19</w:t>
      </w:r>
      <w:r w:rsidRPr="00F41A4E">
        <w:rPr>
          <w:rFonts w:ascii="Roboto" w:hAnsi="Roboto"/>
          <w:noProof/>
          <w:sz w:val="24"/>
          <w:szCs w:val="24"/>
        </w:rPr>
        <w:t>(2), 195–208. https://doi.org/10.1177/1524838016650189</w:t>
      </w:r>
    </w:p>
    <w:p w14:paraId="3A86374F"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Hines, D. A., Bishop, L. R. S., &amp; Palm Reed, K. M. (2019). Differential gender responses to an empathy component of a sexual assault prevention program. </w:t>
      </w:r>
      <w:r w:rsidRPr="00F41A4E">
        <w:rPr>
          <w:rFonts w:ascii="Roboto" w:hAnsi="Roboto"/>
          <w:i/>
          <w:iCs/>
          <w:noProof/>
          <w:sz w:val="24"/>
          <w:szCs w:val="24"/>
        </w:rPr>
        <w:t>Violence &amp; Victims</w:t>
      </w:r>
      <w:r w:rsidRPr="00F41A4E">
        <w:rPr>
          <w:rFonts w:ascii="Roboto" w:hAnsi="Roboto"/>
          <w:noProof/>
          <w:sz w:val="24"/>
          <w:szCs w:val="24"/>
        </w:rPr>
        <w:t xml:space="preserve">, </w:t>
      </w:r>
      <w:r w:rsidRPr="00F41A4E">
        <w:rPr>
          <w:rFonts w:ascii="Roboto" w:hAnsi="Roboto"/>
          <w:i/>
          <w:iCs/>
          <w:noProof/>
          <w:sz w:val="24"/>
          <w:szCs w:val="24"/>
        </w:rPr>
        <w:t>34</w:t>
      </w:r>
      <w:r w:rsidRPr="00F41A4E">
        <w:rPr>
          <w:rFonts w:ascii="Roboto" w:hAnsi="Roboto"/>
          <w:noProof/>
          <w:sz w:val="24"/>
          <w:szCs w:val="24"/>
        </w:rPr>
        <w:t>(3), 397–413. https://doi.org/10.1891/0886-6708.VV-D-18-00046</w:t>
      </w:r>
    </w:p>
    <w:p w14:paraId="4A04A59E"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Hines, D. A., &amp; Reed, K. M. P. (2017). Bystander prevention of sexual and dating violence: An experimental evaluation of online and in-person bystander intervention programs. </w:t>
      </w:r>
      <w:r w:rsidRPr="00F41A4E">
        <w:rPr>
          <w:rFonts w:ascii="Roboto" w:hAnsi="Roboto"/>
          <w:i/>
          <w:iCs/>
          <w:noProof/>
          <w:sz w:val="24"/>
          <w:szCs w:val="24"/>
        </w:rPr>
        <w:t>Partner Abuse</w:t>
      </w:r>
      <w:r w:rsidRPr="00F41A4E">
        <w:rPr>
          <w:rFonts w:ascii="Roboto" w:hAnsi="Roboto"/>
          <w:noProof/>
          <w:sz w:val="24"/>
          <w:szCs w:val="24"/>
        </w:rPr>
        <w:t xml:space="preserve">, </w:t>
      </w:r>
      <w:r w:rsidRPr="00F41A4E">
        <w:rPr>
          <w:rFonts w:ascii="Roboto" w:hAnsi="Roboto"/>
          <w:i/>
          <w:iCs/>
          <w:noProof/>
          <w:sz w:val="24"/>
          <w:szCs w:val="24"/>
        </w:rPr>
        <w:t>8</w:t>
      </w:r>
      <w:r w:rsidRPr="00F41A4E">
        <w:rPr>
          <w:rFonts w:ascii="Roboto" w:hAnsi="Roboto"/>
          <w:noProof/>
          <w:sz w:val="24"/>
          <w:szCs w:val="24"/>
        </w:rPr>
        <w:t>(4), 331–346. https://doi.org/10.1891/1946-6560.8.4.331</w:t>
      </w:r>
    </w:p>
    <w:p w14:paraId="2F528906"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Hooker, L., Ison, J., O’Sullivan, G., Fisher, C., Henry, N., Forsdike, K., Young, F., &amp; Taft, A. (2020). </w:t>
      </w:r>
      <w:r w:rsidRPr="00F41A4E">
        <w:rPr>
          <w:rFonts w:ascii="Roboto" w:hAnsi="Roboto"/>
          <w:i/>
          <w:iCs/>
          <w:noProof/>
          <w:sz w:val="24"/>
          <w:szCs w:val="24"/>
        </w:rPr>
        <w:t>Primary prevention of sexual violence and harassment against women and girls: Combining evidence and practice knowledge - Research report</w:t>
      </w:r>
      <w:r w:rsidRPr="00F41A4E">
        <w:rPr>
          <w:rFonts w:ascii="Roboto" w:hAnsi="Roboto"/>
          <w:noProof/>
          <w:sz w:val="24"/>
          <w:szCs w:val="24"/>
        </w:rPr>
        <w:t>. Australian Government Department of Social Services.</w:t>
      </w:r>
    </w:p>
    <w:p w14:paraId="0C5F70DE"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Inman, E. M., Chaudoir, S. R., Galvinhill, P. R., &amp; Sheehy, A. M. (2018). The effectiveness of the bringing in the bystander</w:t>
      </w:r>
      <w:r w:rsidRPr="00F41A4E">
        <w:rPr>
          <w:rFonts w:ascii="Roboto" w:hAnsi="Roboto"/>
          <w:noProof/>
          <w:sz w:val="24"/>
          <w:szCs w:val="24"/>
          <w:vertAlign w:val="superscript"/>
        </w:rPr>
        <w:t>TM</w:t>
      </w:r>
      <w:r w:rsidRPr="00F41A4E">
        <w:rPr>
          <w:rFonts w:ascii="Roboto" w:hAnsi="Roboto"/>
          <w:noProof/>
          <w:sz w:val="24"/>
          <w:szCs w:val="24"/>
        </w:rPr>
        <w:t xml:space="preserve"> program among first-year students at a religiously-affiliated liberal arts college. </w:t>
      </w:r>
      <w:r w:rsidRPr="00F41A4E">
        <w:rPr>
          <w:rFonts w:ascii="Roboto" w:hAnsi="Roboto"/>
          <w:i/>
          <w:iCs/>
          <w:noProof/>
          <w:sz w:val="24"/>
          <w:szCs w:val="24"/>
        </w:rPr>
        <w:t>Journal of Social and Political Psychology</w:t>
      </w:r>
      <w:r w:rsidRPr="00F41A4E">
        <w:rPr>
          <w:rFonts w:ascii="Roboto" w:hAnsi="Roboto"/>
          <w:noProof/>
          <w:sz w:val="24"/>
          <w:szCs w:val="24"/>
        </w:rPr>
        <w:t xml:space="preserve">, </w:t>
      </w:r>
      <w:r w:rsidRPr="00F41A4E">
        <w:rPr>
          <w:rFonts w:ascii="Roboto" w:hAnsi="Roboto"/>
          <w:i/>
          <w:iCs/>
          <w:noProof/>
          <w:sz w:val="24"/>
          <w:szCs w:val="24"/>
        </w:rPr>
        <w:t>6</w:t>
      </w:r>
      <w:r w:rsidRPr="00F41A4E">
        <w:rPr>
          <w:rFonts w:ascii="Roboto" w:hAnsi="Roboto"/>
          <w:noProof/>
          <w:sz w:val="24"/>
          <w:szCs w:val="24"/>
        </w:rPr>
        <w:t>(2), 511–525. https://doi.org/10.5964/jspp.v6i2.971</w:t>
      </w:r>
    </w:p>
    <w:p w14:paraId="4479A547"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Jaime, M. C. D., Stocking, M., Freire, K., Perkinson, L., Ciaravino, S., &amp; Miller, E. (2016). Using a domestic and sexual violence prevention advocate to implement a dating violence prevention program with athletes. </w:t>
      </w:r>
      <w:r w:rsidRPr="00F41A4E">
        <w:rPr>
          <w:rFonts w:ascii="Roboto" w:hAnsi="Roboto"/>
          <w:i/>
          <w:iCs/>
          <w:noProof/>
          <w:sz w:val="24"/>
          <w:szCs w:val="24"/>
        </w:rPr>
        <w:t>Health Education Research</w:t>
      </w:r>
      <w:r w:rsidRPr="00F41A4E">
        <w:rPr>
          <w:rFonts w:ascii="Roboto" w:hAnsi="Roboto"/>
          <w:noProof/>
          <w:sz w:val="24"/>
          <w:szCs w:val="24"/>
        </w:rPr>
        <w:t xml:space="preserve">, </w:t>
      </w:r>
      <w:r w:rsidRPr="00F41A4E">
        <w:rPr>
          <w:rFonts w:ascii="Roboto" w:hAnsi="Roboto"/>
          <w:i/>
          <w:iCs/>
          <w:noProof/>
          <w:sz w:val="24"/>
          <w:szCs w:val="24"/>
        </w:rPr>
        <w:t>31</w:t>
      </w:r>
      <w:r w:rsidRPr="00F41A4E">
        <w:rPr>
          <w:rFonts w:ascii="Roboto" w:hAnsi="Roboto"/>
          <w:noProof/>
          <w:sz w:val="24"/>
          <w:szCs w:val="24"/>
        </w:rPr>
        <w:t>(6), 679–696. https://doi.org/10.1093/her/cyw045</w:t>
      </w:r>
    </w:p>
    <w:p w14:paraId="09C66A37"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James, C. (2011). </w:t>
      </w:r>
      <w:r w:rsidRPr="00F41A4E">
        <w:rPr>
          <w:rFonts w:ascii="Roboto" w:hAnsi="Roboto"/>
          <w:i/>
          <w:iCs/>
          <w:noProof/>
          <w:sz w:val="24"/>
          <w:szCs w:val="24"/>
        </w:rPr>
        <w:t>Theory of Change review: A report commissioned by Comic Relief</w:t>
      </w:r>
      <w:r w:rsidRPr="00F41A4E">
        <w:rPr>
          <w:rFonts w:ascii="Roboto" w:hAnsi="Roboto"/>
          <w:noProof/>
          <w:sz w:val="24"/>
          <w:szCs w:val="24"/>
        </w:rPr>
        <w:t>. https://www.actknowledge.org/resources/documents/James_ToC.pdf</w:t>
      </w:r>
    </w:p>
    <w:p w14:paraId="1BE57628"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Krug, E. G., Dahlberg, L. L., Mercy, J. A., Zwi, A. B., &amp; Lozano, R. (2002). </w:t>
      </w:r>
      <w:r w:rsidRPr="00F41A4E">
        <w:rPr>
          <w:rFonts w:ascii="Roboto" w:hAnsi="Roboto"/>
          <w:i/>
          <w:iCs/>
          <w:noProof/>
          <w:sz w:val="24"/>
          <w:szCs w:val="24"/>
        </w:rPr>
        <w:t>World report on violence and health</w:t>
      </w:r>
      <w:r w:rsidRPr="00F41A4E">
        <w:rPr>
          <w:rFonts w:ascii="Roboto" w:hAnsi="Roboto"/>
          <w:noProof/>
          <w:sz w:val="24"/>
          <w:szCs w:val="24"/>
        </w:rPr>
        <w:t>. World Health Organization.</w:t>
      </w:r>
    </w:p>
    <w:p w14:paraId="4CF29C85" w14:textId="5B4AB976"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Langhinrichsen-Rohling, J., Foubert, J. D., Brasfield, H. M., Hill, B., &amp; Shelley-Tremblay, S. (2011). The Men’s Program: Does it impact college men’s self-reported bystander efficacy and willingness to intervene? </w:t>
      </w:r>
      <w:r w:rsidRPr="00570841">
        <w:rPr>
          <w:rFonts w:ascii="Roboto" w:hAnsi="Roboto"/>
          <w:i/>
          <w:iCs/>
          <w:noProof/>
          <w:sz w:val="24"/>
          <w:szCs w:val="24"/>
        </w:rPr>
        <w:t>Violence Against Women</w:t>
      </w:r>
      <w:r w:rsidR="00570841">
        <w:rPr>
          <w:rFonts w:ascii="Roboto" w:hAnsi="Roboto"/>
          <w:i/>
          <w:iCs/>
          <w:noProof/>
          <w:sz w:val="24"/>
          <w:szCs w:val="24"/>
        </w:rPr>
        <w:t>,</w:t>
      </w:r>
      <w:r w:rsidRPr="00F41A4E">
        <w:rPr>
          <w:rFonts w:ascii="Roboto" w:hAnsi="Roboto"/>
          <w:noProof/>
          <w:sz w:val="24"/>
          <w:szCs w:val="24"/>
        </w:rPr>
        <w:t xml:space="preserve"> </w:t>
      </w:r>
      <w:r w:rsidRPr="00570841">
        <w:rPr>
          <w:rFonts w:ascii="Roboto" w:hAnsi="Roboto"/>
          <w:i/>
          <w:iCs/>
          <w:noProof/>
          <w:sz w:val="24"/>
          <w:szCs w:val="24"/>
        </w:rPr>
        <w:t>17</w:t>
      </w:r>
      <w:r w:rsidRPr="00F41A4E">
        <w:rPr>
          <w:rFonts w:ascii="Roboto" w:hAnsi="Roboto"/>
          <w:noProof/>
          <w:sz w:val="24"/>
          <w:szCs w:val="24"/>
        </w:rPr>
        <w:t>(6), 2011, 743-759. https://doi.org/http://dx.doi.org/10.1177/1077801211409728</w:t>
      </w:r>
    </w:p>
    <w:p w14:paraId="126B78CE"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Lawson, S. L., Munoz-Rojas, D., Gutman, L. S., &amp; Siman, M. N. (2012). Changing attitudes and perceptions of Hispanic men ages 18 to 25 about rape and rape prevention. </w:t>
      </w:r>
      <w:r w:rsidRPr="00F41A4E">
        <w:rPr>
          <w:rFonts w:ascii="Roboto" w:hAnsi="Roboto"/>
          <w:i/>
          <w:iCs/>
          <w:noProof/>
          <w:sz w:val="24"/>
          <w:szCs w:val="24"/>
        </w:rPr>
        <w:t xml:space="preserve">Issues </w:t>
      </w:r>
      <w:r w:rsidRPr="00F41A4E">
        <w:rPr>
          <w:rFonts w:ascii="Roboto" w:hAnsi="Roboto"/>
          <w:i/>
          <w:iCs/>
          <w:noProof/>
          <w:sz w:val="24"/>
          <w:szCs w:val="24"/>
        </w:rPr>
        <w:lastRenderedPageBreak/>
        <w:t>in Mental Health Nursing</w:t>
      </w:r>
      <w:r w:rsidRPr="00F41A4E">
        <w:rPr>
          <w:rFonts w:ascii="Roboto" w:hAnsi="Roboto"/>
          <w:noProof/>
          <w:sz w:val="24"/>
          <w:szCs w:val="24"/>
        </w:rPr>
        <w:t xml:space="preserve">, </w:t>
      </w:r>
      <w:r w:rsidRPr="00F41A4E">
        <w:rPr>
          <w:rFonts w:ascii="Roboto" w:hAnsi="Roboto"/>
          <w:i/>
          <w:iCs/>
          <w:noProof/>
          <w:sz w:val="24"/>
          <w:szCs w:val="24"/>
        </w:rPr>
        <w:t>33</w:t>
      </w:r>
      <w:r w:rsidRPr="00F41A4E">
        <w:rPr>
          <w:rFonts w:ascii="Roboto" w:hAnsi="Roboto"/>
          <w:noProof/>
          <w:sz w:val="24"/>
          <w:szCs w:val="24"/>
        </w:rPr>
        <w:t>(12), 864–870. https://doi.org/10.3109/01612840.2012.728279</w:t>
      </w:r>
    </w:p>
    <w:p w14:paraId="40062C2F"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Lippy, C., &amp; DeGue, S. (2014). Exploring alcohol policy approaches to prevent sexual violence perpetration. </w:t>
      </w:r>
      <w:r w:rsidRPr="00F41A4E">
        <w:rPr>
          <w:rFonts w:ascii="Roboto" w:hAnsi="Roboto"/>
          <w:i/>
          <w:iCs/>
          <w:noProof/>
          <w:sz w:val="24"/>
          <w:szCs w:val="24"/>
        </w:rPr>
        <w:t>Trauma, Violence, &amp; Abuse</w:t>
      </w:r>
      <w:r w:rsidRPr="00F41A4E">
        <w:rPr>
          <w:rFonts w:ascii="Roboto" w:hAnsi="Roboto"/>
          <w:noProof/>
          <w:sz w:val="24"/>
          <w:szCs w:val="24"/>
        </w:rPr>
        <w:t xml:space="preserve">, </w:t>
      </w:r>
      <w:r w:rsidRPr="00F41A4E">
        <w:rPr>
          <w:rFonts w:ascii="Roboto" w:hAnsi="Roboto"/>
          <w:i/>
          <w:iCs/>
          <w:noProof/>
          <w:sz w:val="24"/>
          <w:szCs w:val="24"/>
        </w:rPr>
        <w:t>17</w:t>
      </w:r>
      <w:r w:rsidRPr="00F41A4E">
        <w:rPr>
          <w:rFonts w:ascii="Roboto" w:hAnsi="Roboto"/>
          <w:noProof/>
          <w:sz w:val="24"/>
          <w:szCs w:val="24"/>
        </w:rPr>
        <w:t>(1), 26–42. https://doi.org/10.1177/1524838014557291</w:t>
      </w:r>
    </w:p>
    <w:p w14:paraId="47D9ED80"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Marmot, M. (2015). The health gap: The challenge of an unequal world. </w:t>
      </w:r>
      <w:r w:rsidRPr="00F41A4E">
        <w:rPr>
          <w:rFonts w:ascii="Roboto" w:hAnsi="Roboto"/>
          <w:i/>
          <w:iCs/>
          <w:noProof/>
          <w:sz w:val="24"/>
          <w:szCs w:val="24"/>
        </w:rPr>
        <w:t>The Lancet</w:t>
      </w:r>
      <w:r w:rsidRPr="00F41A4E">
        <w:rPr>
          <w:rFonts w:ascii="Roboto" w:hAnsi="Roboto"/>
          <w:noProof/>
          <w:sz w:val="24"/>
          <w:szCs w:val="24"/>
        </w:rPr>
        <w:t xml:space="preserve">, </w:t>
      </w:r>
      <w:r w:rsidRPr="00F41A4E">
        <w:rPr>
          <w:rFonts w:ascii="Roboto" w:hAnsi="Roboto"/>
          <w:i/>
          <w:iCs/>
          <w:noProof/>
          <w:sz w:val="24"/>
          <w:szCs w:val="24"/>
        </w:rPr>
        <w:t>386</w:t>
      </w:r>
      <w:r w:rsidRPr="00F41A4E">
        <w:rPr>
          <w:rFonts w:ascii="Roboto" w:hAnsi="Roboto"/>
          <w:noProof/>
          <w:sz w:val="24"/>
          <w:szCs w:val="24"/>
        </w:rPr>
        <w:t>(10011), 2442–2444. https://doi.org/10.1016/S0140-6736(15)00150-6</w:t>
      </w:r>
    </w:p>
    <w:p w14:paraId="0E792CF5"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McKibbin, G., &amp; Humphreys, C. (2020). Future directions in child sexual abuse prevention: An Australian perspective. </w:t>
      </w:r>
      <w:r w:rsidRPr="00F41A4E">
        <w:rPr>
          <w:rFonts w:ascii="Roboto" w:hAnsi="Roboto"/>
          <w:i/>
          <w:iCs/>
          <w:noProof/>
          <w:sz w:val="24"/>
          <w:szCs w:val="24"/>
        </w:rPr>
        <w:t>Child Abuse and Neglect</w:t>
      </w:r>
      <w:r w:rsidRPr="00F41A4E">
        <w:rPr>
          <w:rFonts w:ascii="Roboto" w:hAnsi="Roboto"/>
          <w:noProof/>
          <w:sz w:val="24"/>
          <w:szCs w:val="24"/>
        </w:rPr>
        <w:t xml:space="preserve">, </w:t>
      </w:r>
      <w:r w:rsidRPr="00F41A4E">
        <w:rPr>
          <w:rFonts w:ascii="Roboto" w:hAnsi="Roboto"/>
          <w:i/>
          <w:iCs/>
          <w:noProof/>
          <w:sz w:val="24"/>
          <w:szCs w:val="24"/>
        </w:rPr>
        <w:t>105</w:t>
      </w:r>
      <w:r w:rsidRPr="00F41A4E">
        <w:rPr>
          <w:rFonts w:ascii="Roboto" w:hAnsi="Roboto"/>
          <w:noProof/>
          <w:sz w:val="24"/>
          <w:szCs w:val="24"/>
        </w:rPr>
        <w:t>(104422), 1–8. https://doi.org/10.1016/j.chiabu.2020.104422</w:t>
      </w:r>
    </w:p>
    <w:p w14:paraId="59BE643B"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Mejdoubi, J., van den Heijkant, S. C., van Leerdam, F. J., Heymans, M. W., Hirasing, R. A., &amp; Crijnen, A. A. (2013). Effect of nurse home visits vs. usual care on reducing intimate partner violence in young high-risk pregnant women: A randomized controlled trial. </w:t>
      </w:r>
      <w:r w:rsidRPr="00F41A4E">
        <w:rPr>
          <w:rFonts w:ascii="Roboto" w:hAnsi="Roboto"/>
          <w:i/>
          <w:iCs/>
          <w:noProof/>
          <w:sz w:val="24"/>
          <w:szCs w:val="24"/>
        </w:rPr>
        <w:t>PLoS ONE</w:t>
      </w:r>
      <w:r w:rsidRPr="00F41A4E">
        <w:rPr>
          <w:rFonts w:ascii="Roboto" w:hAnsi="Roboto"/>
          <w:noProof/>
          <w:sz w:val="24"/>
          <w:szCs w:val="24"/>
        </w:rPr>
        <w:t xml:space="preserve">, </w:t>
      </w:r>
      <w:r w:rsidRPr="00F41A4E">
        <w:rPr>
          <w:rFonts w:ascii="Roboto" w:hAnsi="Roboto"/>
          <w:i/>
          <w:iCs/>
          <w:noProof/>
          <w:sz w:val="24"/>
          <w:szCs w:val="24"/>
        </w:rPr>
        <w:t>8</w:t>
      </w:r>
      <w:r w:rsidRPr="00F41A4E">
        <w:rPr>
          <w:rFonts w:ascii="Roboto" w:hAnsi="Roboto"/>
          <w:noProof/>
          <w:sz w:val="24"/>
          <w:szCs w:val="24"/>
        </w:rPr>
        <w:t>(10), e78185. https://doi.org/10.1371/journal.pone.0078185</w:t>
      </w:r>
    </w:p>
    <w:p w14:paraId="7818123B"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Mennicke, A., Kennedy, S. C., Gromer, J., &amp; Klem-O’Connor, M. (2018). Evaluation of a Social Norms Sexual Violence Prevention Marketing Campaign Targeted Toward College Men: Attitudes, Beliefs, and Behaviors Over 5 Years. </w:t>
      </w:r>
      <w:r w:rsidRPr="00F41A4E">
        <w:rPr>
          <w:rFonts w:ascii="Roboto" w:hAnsi="Roboto"/>
          <w:i/>
          <w:iCs/>
          <w:noProof/>
          <w:sz w:val="24"/>
          <w:szCs w:val="24"/>
        </w:rPr>
        <w:t>Journal of Interpersonal Violence</w:t>
      </w:r>
      <w:r w:rsidRPr="00F41A4E">
        <w:rPr>
          <w:rFonts w:ascii="Roboto" w:hAnsi="Roboto"/>
          <w:noProof/>
          <w:sz w:val="24"/>
          <w:szCs w:val="24"/>
        </w:rPr>
        <w:t>. https://doi.org/10.1177/0886260518780411</w:t>
      </w:r>
    </w:p>
    <w:p w14:paraId="4E8069BA"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Miller, E., Jaime, M. C. D., &amp; McCauley, H. M. (2016). “Coaching boys into men”: A social norms change approach to sexual violence prevention. In E. Jeglic &amp; C. Calkins (Eds.), </w:t>
      </w:r>
      <w:r w:rsidRPr="00F41A4E">
        <w:rPr>
          <w:rFonts w:ascii="Roboto" w:hAnsi="Roboto"/>
          <w:i/>
          <w:iCs/>
          <w:noProof/>
          <w:sz w:val="24"/>
          <w:szCs w:val="24"/>
        </w:rPr>
        <w:t>Sexual Violence: Evidence Based Policy and Prevention</w:t>
      </w:r>
      <w:r w:rsidRPr="00F41A4E">
        <w:rPr>
          <w:rFonts w:ascii="Roboto" w:hAnsi="Roboto"/>
          <w:noProof/>
          <w:sz w:val="24"/>
          <w:szCs w:val="24"/>
        </w:rPr>
        <w:t xml:space="preserve"> (pp. 227–248). Springer International Publishing. https://doi.org/10.1007/978-3-319-44504-5_13</w:t>
      </w:r>
    </w:p>
    <w:p w14:paraId="2F64EDFF"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Miller, E., Jones, K. A., Ripper, L., Paglisotti, T., Mulbah, P., &amp; Abebe, K. Z. (2020). An athletic coach-delivered middle school gender violence prevention program: A cluster randomized clinical trial. </w:t>
      </w:r>
      <w:r w:rsidRPr="00F41A4E">
        <w:rPr>
          <w:rFonts w:ascii="Roboto" w:hAnsi="Roboto"/>
          <w:i/>
          <w:iCs/>
          <w:noProof/>
          <w:sz w:val="24"/>
          <w:szCs w:val="24"/>
        </w:rPr>
        <w:t>JAMA Pediatrics</w:t>
      </w:r>
      <w:r w:rsidRPr="00F41A4E">
        <w:rPr>
          <w:rFonts w:ascii="Roboto" w:hAnsi="Roboto"/>
          <w:noProof/>
          <w:sz w:val="24"/>
          <w:szCs w:val="24"/>
        </w:rPr>
        <w:t xml:space="preserve">, </w:t>
      </w:r>
      <w:r w:rsidRPr="00F41A4E">
        <w:rPr>
          <w:rFonts w:ascii="Roboto" w:hAnsi="Roboto"/>
          <w:i/>
          <w:iCs/>
          <w:noProof/>
          <w:sz w:val="24"/>
          <w:szCs w:val="24"/>
        </w:rPr>
        <w:t>174</w:t>
      </w:r>
      <w:r w:rsidRPr="00F41A4E">
        <w:rPr>
          <w:rFonts w:ascii="Roboto" w:hAnsi="Roboto"/>
          <w:noProof/>
          <w:sz w:val="24"/>
          <w:szCs w:val="24"/>
        </w:rPr>
        <w:t>(3), 241–249. https://doi.org/10.1001/jamapediatrics.2019.5217</w:t>
      </w:r>
    </w:p>
    <w:p w14:paraId="4E0B18EB"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Miller, E., Tancredi, D. J., McCauley, H. L., Decker, M. R., Virata, M. C. D., Anderson, H. A., O’Connor, B., &amp; Silverman, J. G. (2013). One-year follow-up of a coach-delivered dating violence prevention program. </w:t>
      </w:r>
      <w:r w:rsidRPr="00F41A4E">
        <w:rPr>
          <w:rFonts w:ascii="Roboto" w:hAnsi="Roboto"/>
          <w:i/>
          <w:iCs/>
          <w:noProof/>
          <w:sz w:val="24"/>
          <w:szCs w:val="24"/>
        </w:rPr>
        <w:t>American Journal of Preventive Medicine</w:t>
      </w:r>
      <w:r w:rsidRPr="00F41A4E">
        <w:rPr>
          <w:rFonts w:ascii="Roboto" w:hAnsi="Roboto"/>
          <w:noProof/>
          <w:sz w:val="24"/>
          <w:szCs w:val="24"/>
        </w:rPr>
        <w:t xml:space="preserve">, </w:t>
      </w:r>
      <w:r w:rsidRPr="00F41A4E">
        <w:rPr>
          <w:rFonts w:ascii="Roboto" w:hAnsi="Roboto"/>
          <w:i/>
          <w:iCs/>
          <w:noProof/>
          <w:sz w:val="24"/>
          <w:szCs w:val="24"/>
        </w:rPr>
        <w:t>45</w:t>
      </w:r>
      <w:r w:rsidRPr="00F41A4E">
        <w:rPr>
          <w:rFonts w:ascii="Roboto" w:hAnsi="Roboto"/>
          <w:noProof/>
          <w:sz w:val="24"/>
          <w:szCs w:val="24"/>
        </w:rPr>
        <w:t>(1), 108–112. https://doi.org/10.1016/j.amepre.2013.03.007</w:t>
      </w:r>
    </w:p>
    <w:p w14:paraId="1AC7BB93"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Miller, E., Tancredi, D. J., McCauley, H. L., Decker, M. R., Virata, M. C. D., Anderson, H. A., Stetkevich, N., Brown, E. W., Moideen, F., &amp; Silverman, J. G. (2012). “Coaching Boys into Men”: A cluster-randomized controlled trial of a dating violence prevention program. </w:t>
      </w:r>
      <w:r w:rsidRPr="00F41A4E">
        <w:rPr>
          <w:rFonts w:ascii="Roboto" w:hAnsi="Roboto"/>
          <w:i/>
          <w:iCs/>
          <w:noProof/>
          <w:sz w:val="24"/>
          <w:szCs w:val="24"/>
        </w:rPr>
        <w:t>Journal of Adolescent Health</w:t>
      </w:r>
      <w:r w:rsidRPr="00F41A4E">
        <w:rPr>
          <w:rFonts w:ascii="Roboto" w:hAnsi="Roboto"/>
          <w:noProof/>
          <w:sz w:val="24"/>
          <w:szCs w:val="24"/>
        </w:rPr>
        <w:t xml:space="preserve">, </w:t>
      </w:r>
      <w:r w:rsidRPr="00F41A4E">
        <w:rPr>
          <w:rFonts w:ascii="Roboto" w:hAnsi="Roboto"/>
          <w:i/>
          <w:iCs/>
          <w:noProof/>
          <w:sz w:val="24"/>
          <w:szCs w:val="24"/>
        </w:rPr>
        <w:t>51</w:t>
      </w:r>
      <w:r w:rsidRPr="00F41A4E">
        <w:rPr>
          <w:rFonts w:ascii="Roboto" w:hAnsi="Roboto"/>
          <w:noProof/>
          <w:sz w:val="24"/>
          <w:szCs w:val="24"/>
        </w:rPr>
        <w:t>(5), 431–438. https://doi.org/10.1016/j.jadohealth.2012.01.018</w:t>
      </w:r>
    </w:p>
    <w:p w14:paraId="7B73C5D3"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Miller, T. R. (2015). Projected outcomes of nurse-family partnership home visitation during 1996–2013, USA. </w:t>
      </w:r>
      <w:r w:rsidRPr="00F41A4E">
        <w:rPr>
          <w:rFonts w:ascii="Roboto" w:hAnsi="Roboto"/>
          <w:i/>
          <w:iCs/>
          <w:noProof/>
          <w:sz w:val="24"/>
          <w:szCs w:val="24"/>
        </w:rPr>
        <w:t>Prevention Science</w:t>
      </w:r>
      <w:r w:rsidRPr="00F41A4E">
        <w:rPr>
          <w:rFonts w:ascii="Roboto" w:hAnsi="Roboto"/>
          <w:noProof/>
          <w:sz w:val="24"/>
          <w:szCs w:val="24"/>
        </w:rPr>
        <w:t xml:space="preserve">, </w:t>
      </w:r>
      <w:r w:rsidRPr="00F41A4E">
        <w:rPr>
          <w:rFonts w:ascii="Roboto" w:hAnsi="Roboto"/>
          <w:i/>
          <w:iCs/>
          <w:noProof/>
          <w:sz w:val="24"/>
          <w:szCs w:val="24"/>
        </w:rPr>
        <w:t>16</w:t>
      </w:r>
      <w:r w:rsidRPr="00F41A4E">
        <w:rPr>
          <w:rFonts w:ascii="Roboto" w:hAnsi="Roboto"/>
          <w:noProof/>
          <w:sz w:val="24"/>
          <w:szCs w:val="24"/>
        </w:rPr>
        <w:t>(6), 765–777. https://doi.org/10.1007/s11121-015-0572-9</w:t>
      </w:r>
    </w:p>
    <w:p w14:paraId="23791E2C"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National Council to Reduce Violence against Women and their Children. (2009). </w:t>
      </w:r>
      <w:r w:rsidRPr="00F41A4E">
        <w:rPr>
          <w:rFonts w:ascii="Roboto" w:hAnsi="Roboto"/>
          <w:i/>
          <w:iCs/>
          <w:noProof/>
          <w:sz w:val="24"/>
          <w:szCs w:val="24"/>
        </w:rPr>
        <w:t xml:space="preserve">Time for action: The National Council’s plan for Australia to reduce violence against women and </w:t>
      </w:r>
      <w:r w:rsidRPr="00F41A4E">
        <w:rPr>
          <w:rFonts w:ascii="Roboto" w:hAnsi="Roboto"/>
          <w:i/>
          <w:iCs/>
          <w:noProof/>
          <w:sz w:val="24"/>
          <w:szCs w:val="24"/>
        </w:rPr>
        <w:lastRenderedPageBreak/>
        <w:t>their children 2009–2021</w:t>
      </w:r>
      <w:r w:rsidRPr="00F41A4E">
        <w:rPr>
          <w:rFonts w:ascii="Roboto" w:hAnsi="Roboto"/>
          <w:noProof/>
          <w:sz w:val="24"/>
          <w:szCs w:val="24"/>
        </w:rPr>
        <w:t>. Department of Social Services.</w:t>
      </w:r>
    </w:p>
    <w:p w14:paraId="788754D3"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Olds, D. L. (2008). Preventing child maltreatment and crime with prenatal and infancy support of parents: The Nurse–Family Partnership. </w:t>
      </w:r>
      <w:r w:rsidRPr="00F41A4E">
        <w:rPr>
          <w:rFonts w:ascii="Roboto" w:hAnsi="Roboto"/>
          <w:i/>
          <w:iCs/>
          <w:noProof/>
          <w:sz w:val="24"/>
          <w:szCs w:val="24"/>
        </w:rPr>
        <w:t>Journal of Scandinavian Studies in Criminology and Crime Prevention</w:t>
      </w:r>
      <w:r w:rsidRPr="00F41A4E">
        <w:rPr>
          <w:rFonts w:ascii="Roboto" w:hAnsi="Roboto"/>
          <w:noProof/>
          <w:sz w:val="24"/>
          <w:szCs w:val="24"/>
        </w:rPr>
        <w:t xml:space="preserve">, </w:t>
      </w:r>
      <w:r w:rsidRPr="00F41A4E">
        <w:rPr>
          <w:rFonts w:ascii="Roboto" w:hAnsi="Roboto"/>
          <w:i/>
          <w:iCs/>
          <w:noProof/>
          <w:sz w:val="24"/>
          <w:szCs w:val="24"/>
        </w:rPr>
        <w:t>9</w:t>
      </w:r>
      <w:r w:rsidRPr="00F41A4E">
        <w:rPr>
          <w:rFonts w:ascii="Roboto" w:hAnsi="Roboto"/>
          <w:noProof/>
          <w:sz w:val="24"/>
          <w:szCs w:val="24"/>
        </w:rPr>
        <w:t>(sup1), 2–24. https://doi.org/10.1080/14043850802450096</w:t>
      </w:r>
    </w:p>
    <w:p w14:paraId="7ACE107E"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Our Watch. (2017). </w:t>
      </w:r>
      <w:r w:rsidRPr="00F41A4E">
        <w:rPr>
          <w:rFonts w:ascii="Roboto" w:hAnsi="Roboto"/>
          <w:i/>
          <w:iCs/>
          <w:noProof/>
          <w:sz w:val="24"/>
          <w:szCs w:val="24"/>
        </w:rPr>
        <w:t>Tracking change: Snapshot evaluation findings for The Line campaign 2015 to 2017</w:t>
      </w:r>
      <w:r w:rsidRPr="00F41A4E">
        <w:rPr>
          <w:rFonts w:ascii="Roboto" w:hAnsi="Roboto"/>
          <w:noProof/>
          <w:sz w:val="24"/>
          <w:szCs w:val="24"/>
        </w:rPr>
        <w:t>. Our Watch.</w:t>
      </w:r>
    </w:p>
    <w:p w14:paraId="4E5BBD11"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Our Watch. (2018). </w:t>
      </w:r>
      <w:r w:rsidRPr="00F41A4E">
        <w:rPr>
          <w:rFonts w:ascii="Roboto" w:hAnsi="Roboto"/>
          <w:i/>
          <w:iCs/>
          <w:noProof/>
          <w:sz w:val="24"/>
          <w:szCs w:val="24"/>
        </w:rPr>
        <w:t>Changing the picture: A national resource to prevent violence against Aboriginal and Torres Strait Islander women and their children</w:t>
      </w:r>
      <w:r w:rsidRPr="00F41A4E">
        <w:rPr>
          <w:rFonts w:ascii="Roboto" w:hAnsi="Roboto"/>
          <w:noProof/>
          <w:sz w:val="24"/>
          <w:szCs w:val="24"/>
        </w:rPr>
        <w:t>. Our Watch.</w:t>
      </w:r>
    </w:p>
    <w:p w14:paraId="3071026E"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Our Watch. (2019a). </w:t>
      </w:r>
      <w:r w:rsidRPr="00F41A4E">
        <w:rPr>
          <w:rFonts w:ascii="Roboto" w:hAnsi="Roboto"/>
          <w:i/>
          <w:iCs/>
          <w:noProof/>
          <w:sz w:val="24"/>
          <w:szCs w:val="24"/>
        </w:rPr>
        <w:t>Change the story three years on: Reflections on uptake and impact, lessons learned and Our Watch’s ongoing work to embed and expand the evidence on prevention</w:t>
      </w:r>
      <w:r w:rsidRPr="00F41A4E">
        <w:rPr>
          <w:rFonts w:ascii="Roboto" w:hAnsi="Roboto"/>
          <w:noProof/>
          <w:sz w:val="24"/>
          <w:szCs w:val="24"/>
        </w:rPr>
        <w:t>. Our Watch.</w:t>
      </w:r>
    </w:p>
    <w:p w14:paraId="7A76F3D9"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Our Watch. (2019b). </w:t>
      </w:r>
      <w:r w:rsidRPr="00F41A4E">
        <w:rPr>
          <w:rFonts w:ascii="Roboto" w:hAnsi="Roboto"/>
          <w:i/>
          <w:iCs/>
          <w:noProof/>
          <w:sz w:val="24"/>
          <w:szCs w:val="24"/>
        </w:rPr>
        <w:t>Men in focus: Unpacking masculinities and engaging men in the prevention of violence against women</w:t>
      </w:r>
      <w:r w:rsidRPr="00F41A4E">
        <w:rPr>
          <w:rFonts w:ascii="Roboto" w:hAnsi="Roboto"/>
          <w:noProof/>
          <w:sz w:val="24"/>
          <w:szCs w:val="24"/>
        </w:rPr>
        <w:t>. Our Watch. https://doi.org/10.1177/030619739700600208</w:t>
      </w:r>
    </w:p>
    <w:p w14:paraId="4075CD62"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Our Watch, VicHealth, &amp; Australia’s National Research Organisation for Women’s Safety (ANROWS). (2015). </w:t>
      </w:r>
      <w:r w:rsidRPr="00F41A4E">
        <w:rPr>
          <w:rFonts w:ascii="Roboto" w:hAnsi="Roboto"/>
          <w:i/>
          <w:iCs/>
          <w:noProof/>
          <w:sz w:val="24"/>
          <w:szCs w:val="24"/>
        </w:rPr>
        <w:t>Change the story: A shared framework for the primary prevention of violence against women and their children in Australia</w:t>
      </w:r>
      <w:r w:rsidRPr="00F41A4E">
        <w:rPr>
          <w:rFonts w:ascii="Roboto" w:hAnsi="Roboto"/>
          <w:noProof/>
          <w:sz w:val="24"/>
          <w:szCs w:val="24"/>
        </w:rPr>
        <w:t>. Our Watch.</w:t>
      </w:r>
    </w:p>
    <w:p w14:paraId="025504B1"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Palm Reed, K. M., Hines, D. A., Armstrong, J. L., &amp; Cameron, A. Y. (2015). Experimental evaluation of a bystander prevention program for sexual assault and dating violence. </w:t>
      </w:r>
      <w:r w:rsidRPr="00F41A4E">
        <w:rPr>
          <w:rFonts w:ascii="Roboto" w:hAnsi="Roboto"/>
          <w:i/>
          <w:iCs/>
          <w:noProof/>
          <w:sz w:val="24"/>
          <w:szCs w:val="24"/>
        </w:rPr>
        <w:t>Psychology of Violence</w:t>
      </w:r>
      <w:r w:rsidRPr="00F41A4E">
        <w:rPr>
          <w:rFonts w:ascii="Roboto" w:hAnsi="Roboto"/>
          <w:noProof/>
          <w:sz w:val="24"/>
          <w:szCs w:val="24"/>
        </w:rPr>
        <w:t xml:space="preserve">, </w:t>
      </w:r>
      <w:r w:rsidRPr="00F41A4E">
        <w:rPr>
          <w:rFonts w:ascii="Roboto" w:hAnsi="Roboto"/>
          <w:i/>
          <w:iCs/>
          <w:noProof/>
          <w:sz w:val="24"/>
          <w:szCs w:val="24"/>
        </w:rPr>
        <w:t>5</w:t>
      </w:r>
      <w:r w:rsidRPr="00F41A4E">
        <w:rPr>
          <w:rFonts w:ascii="Roboto" w:hAnsi="Roboto"/>
          <w:noProof/>
          <w:sz w:val="24"/>
          <w:szCs w:val="24"/>
        </w:rPr>
        <w:t>(1), 95–102. https://doi.org/10.1037/a0037557</w:t>
      </w:r>
    </w:p>
    <w:p w14:paraId="12A1B6D9"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Peterson, K., Sharps, P., Banyard, V. L., Powers, R. A., Kaukinen, C., Gross, D., Decker, M. R., Baatz, C., &amp; Campbell, J. C. (2018). An evaluation of two dating violence prevention programs on a college campus. </w:t>
      </w:r>
      <w:r w:rsidRPr="00F41A4E">
        <w:rPr>
          <w:rFonts w:ascii="Roboto" w:hAnsi="Roboto"/>
          <w:i/>
          <w:iCs/>
          <w:noProof/>
          <w:sz w:val="24"/>
          <w:szCs w:val="24"/>
        </w:rPr>
        <w:t>Journal of Interpersonal Violence</w:t>
      </w:r>
      <w:r w:rsidRPr="00F41A4E">
        <w:rPr>
          <w:rFonts w:ascii="Roboto" w:hAnsi="Roboto"/>
          <w:noProof/>
          <w:sz w:val="24"/>
          <w:szCs w:val="24"/>
        </w:rPr>
        <w:t xml:space="preserve">, </w:t>
      </w:r>
      <w:r w:rsidRPr="00F41A4E">
        <w:rPr>
          <w:rFonts w:ascii="Roboto" w:hAnsi="Roboto"/>
          <w:i/>
          <w:iCs/>
          <w:noProof/>
          <w:sz w:val="24"/>
          <w:szCs w:val="24"/>
        </w:rPr>
        <w:t>33</w:t>
      </w:r>
      <w:r w:rsidRPr="00F41A4E">
        <w:rPr>
          <w:rFonts w:ascii="Roboto" w:hAnsi="Roboto"/>
          <w:noProof/>
          <w:sz w:val="24"/>
          <w:szCs w:val="24"/>
        </w:rPr>
        <w:t>(23), 3630–3655. https://doi.org/10.1177/0886260516636069</w:t>
      </w:r>
    </w:p>
    <w:p w14:paraId="60F04D51"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Plan International, &amp; Monash University. (2018). </w:t>
      </w:r>
      <w:r w:rsidRPr="00F41A4E">
        <w:rPr>
          <w:rFonts w:ascii="Roboto" w:hAnsi="Roboto"/>
          <w:i/>
          <w:iCs/>
          <w:noProof/>
          <w:sz w:val="24"/>
          <w:szCs w:val="24"/>
        </w:rPr>
        <w:t>Unsafe in the City - The everyday experiences of girls and young women</w:t>
      </w:r>
      <w:r w:rsidRPr="00F41A4E">
        <w:rPr>
          <w:rFonts w:ascii="Roboto" w:hAnsi="Roboto"/>
          <w:noProof/>
          <w:sz w:val="24"/>
          <w:szCs w:val="24"/>
        </w:rPr>
        <w:t>. https://www.monash.edu/__data/assets/pdf_file/0006/1572747/unsafeinthecity-en.pdf</w:t>
      </w:r>
    </w:p>
    <w:p w14:paraId="7DD30CE4"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Ports, K. A., Ford, D. C., &amp; Merrick, M. T. (2016). Adverse childhood experiences and sexual victimization in adulthood. </w:t>
      </w:r>
      <w:r w:rsidRPr="00F41A4E">
        <w:rPr>
          <w:rFonts w:ascii="Roboto" w:hAnsi="Roboto"/>
          <w:i/>
          <w:iCs/>
          <w:noProof/>
          <w:sz w:val="24"/>
          <w:szCs w:val="24"/>
        </w:rPr>
        <w:t>Child Abuse and Neglect</w:t>
      </w:r>
      <w:r w:rsidRPr="00F41A4E">
        <w:rPr>
          <w:rFonts w:ascii="Roboto" w:hAnsi="Roboto"/>
          <w:noProof/>
          <w:sz w:val="24"/>
          <w:szCs w:val="24"/>
        </w:rPr>
        <w:t xml:space="preserve">, </w:t>
      </w:r>
      <w:r w:rsidRPr="00F41A4E">
        <w:rPr>
          <w:rFonts w:ascii="Roboto" w:hAnsi="Roboto"/>
          <w:i/>
          <w:iCs/>
          <w:noProof/>
          <w:sz w:val="24"/>
          <w:szCs w:val="24"/>
        </w:rPr>
        <w:t>51</w:t>
      </w:r>
      <w:r w:rsidRPr="00F41A4E">
        <w:rPr>
          <w:rFonts w:ascii="Roboto" w:hAnsi="Roboto"/>
          <w:noProof/>
          <w:sz w:val="24"/>
          <w:szCs w:val="24"/>
        </w:rPr>
        <w:t>, 313–322. https://doi.org/10.1016/j.chiabu.2015.08.017</w:t>
      </w:r>
    </w:p>
    <w:p w14:paraId="24A27952"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Powell, A., &amp; Henry, N. (2017). Sexual violence in a digital age. In </w:t>
      </w:r>
      <w:r w:rsidRPr="00F41A4E">
        <w:rPr>
          <w:rFonts w:ascii="Roboto" w:hAnsi="Roboto"/>
          <w:i/>
          <w:iCs/>
          <w:noProof/>
          <w:sz w:val="24"/>
          <w:szCs w:val="24"/>
        </w:rPr>
        <w:t>Sexual Violence in a Digital Age</w:t>
      </w:r>
      <w:r w:rsidRPr="00F41A4E">
        <w:rPr>
          <w:rFonts w:ascii="Roboto" w:hAnsi="Roboto"/>
          <w:noProof/>
          <w:sz w:val="24"/>
          <w:szCs w:val="24"/>
        </w:rPr>
        <w:t>. Palgrave Macmillan. https://doi.org/10.1057/978-1-137-58047-4</w:t>
      </w:r>
    </w:p>
    <w:p w14:paraId="5249EE7B" w14:textId="77777777" w:rsidR="00B1740D" w:rsidRDefault="00B1740D">
      <w:pPr>
        <w:spacing w:after="0" w:line="240" w:lineRule="auto"/>
        <w:rPr>
          <w:rFonts w:ascii="Roboto" w:hAnsi="Roboto"/>
          <w:noProof/>
          <w:sz w:val="24"/>
          <w:szCs w:val="24"/>
        </w:rPr>
      </w:pPr>
      <w:r>
        <w:rPr>
          <w:rFonts w:ascii="Roboto" w:hAnsi="Roboto"/>
          <w:noProof/>
          <w:sz w:val="24"/>
          <w:szCs w:val="24"/>
        </w:rPr>
        <w:br w:type="page"/>
      </w:r>
    </w:p>
    <w:p w14:paraId="08150740" w14:textId="69C5548F"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lastRenderedPageBreak/>
        <w:t xml:space="preserve">Powers, R. A., &amp; Leili, J. (2018). Bar training for active bystanders: Evaluation of a community-based bystander intervention program. </w:t>
      </w:r>
      <w:r w:rsidRPr="00F41A4E">
        <w:rPr>
          <w:rFonts w:ascii="Roboto" w:hAnsi="Roboto"/>
          <w:i/>
          <w:iCs/>
          <w:noProof/>
          <w:sz w:val="24"/>
          <w:szCs w:val="24"/>
        </w:rPr>
        <w:t>Violence Against Women</w:t>
      </w:r>
      <w:r w:rsidRPr="00F41A4E">
        <w:rPr>
          <w:rFonts w:ascii="Roboto" w:hAnsi="Roboto"/>
          <w:noProof/>
          <w:sz w:val="24"/>
          <w:szCs w:val="24"/>
        </w:rPr>
        <w:t xml:space="preserve">, </w:t>
      </w:r>
      <w:r w:rsidRPr="00F41A4E">
        <w:rPr>
          <w:rFonts w:ascii="Roboto" w:hAnsi="Roboto"/>
          <w:i/>
          <w:iCs/>
          <w:noProof/>
          <w:sz w:val="24"/>
          <w:szCs w:val="24"/>
        </w:rPr>
        <w:t>24</w:t>
      </w:r>
      <w:r w:rsidRPr="00F41A4E">
        <w:rPr>
          <w:rFonts w:ascii="Roboto" w:hAnsi="Roboto"/>
          <w:noProof/>
          <w:sz w:val="24"/>
          <w:szCs w:val="24"/>
        </w:rPr>
        <w:t>(13), 1614–1634. https://doi.org/10.1177/1077801217741219</w:t>
      </w:r>
    </w:p>
    <w:p w14:paraId="29C3C82A"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Prinz, R. J., Sanders, M. R., Shapiro, C. J., Whitaker, D. J., &amp; Lutzker, J. R. (2009). Population-based prevention of child maltreatment: The U.S. triple P system population trial [Article]. </w:t>
      </w:r>
      <w:r w:rsidRPr="00F41A4E">
        <w:rPr>
          <w:rFonts w:ascii="Roboto" w:hAnsi="Roboto"/>
          <w:i/>
          <w:iCs/>
          <w:noProof/>
          <w:sz w:val="24"/>
          <w:szCs w:val="24"/>
        </w:rPr>
        <w:t>Prevention Science</w:t>
      </w:r>
      <w:r w:rsidRPr="00F41A4E">
        <w:rPr>
          <w:rFonts w:ascii="Roboto" w:hAnsi="Roboto"/>
          <w:noProof/>
          <w:sz w:val="24"/>
          <w:szCs w:val="24"/>
        </w:rPr>
        <w:t xml:space="preserve">, </w:t>
      </w:r>
      <w:r w:rsidRPr="00F41A4E">
        <w:rPr>
          <w:rFonts w:ascii="Roboto" w:hAnsi="Roboto"/>
          <w:i/>
          <w:iCs/>
          <w:noProof/>
          <w:sz w:val="24"/>
          <w:szCs w:val="24"/>
        </w:rPr>
        <w:t>10</w:t>
      </w:r>
      <w:r w:rsidRPr="00F41A4E">
        <w:rPr>
          <w:rFonts w:ascii="Roboto" w:hAnsi="Roboto"/>
          <w:noProof/>
          <w:sz w:val="24"/>
          <w:szCs w:val="24"/>
        </w:rPr>
        <w:t>(1), 1–12. https://doi.org/10.1007/s11121-009-0123-3</w:t>
      </w:r>
    </w:p>
    <w:p w14:paraId="56E2C9A6"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Rudolph, J., Zimmer-Gembeck, M. J., Shanley, D. C., &amp; Hawkins, R. (2018). Child sexual abuse prevention opportunities: Parenting, programs, and the reduction of risk [Article]. </w:t>
      </w:r>
      <w:r w:rsidRPr="00F41A4E">
        <w:rPr>
          <w:rFonts w:ascii="Roboto" w:hAnsi="Roboto"/>
          <w:i/>
          <w:iCs/>
          <w:noProof/>
          <w:sz w:val="24"/>
          <w:szCs w:val="24"/>
        </w:rPr>
        <w:t>Child Maltreatment</w:t>
      </w:r>
      <w:r w:rsidRPr="00F41A4E">
        <w:rPr>
          <w:rFonts w:ascii="Roboto" w:hAnsi="Roboto"/>
          <w:noProof/>
          <w:sz w:val="24"/>
          <w:szCs w:val="24"/>
        </w:rPr>
        <w:t xml:space="preserve">, </w:t>
      </w:r>
      <w:r w:rsidRPr="00F41A4E">
        <w:rPr>
          <w:rFonts w:ascii="Roboto" w:hAnsi="Roboto"/>
          <w:i/>
          <w:iCs/>
          <w:noProof/>
          <w:sz w:val="24"/>
          <w:szCs w:val="24"/>
        </w:rPr>
        <w:t>23</w:t>
      </w:r>
      <w:r w:rsidRPr="00F41A4E">
        <w:rPr>
          <w:rFonts w:ascii="Roboto" w:hAnsi="Roboto"/>
          <w:noProof/>
          <w:sz w:val="24"/>
          <w:szCs w:val="24"/>
        </w:rPr>
        <w:t>(1), 96–106. https://doi.org/10.1177/1077559517729479</w:t>
      </w:r>
    </w:p>
    <w:p w14:paraId="555ECFB4"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Salazar, L. F., Vivolo-Kantor, A., Hardin, J., &amp; Berkowitz, A. (2014). A web-based sexual violence bystander intervention for male college students: Randomized controlled trial. </w:t>
      </w:r>
      <w:r w:rsidRPr="00F41A4E">
        <w:rPr>
          <w:rFonts w:ascii="Roboto" w:hAnsi="Roboto"/>
          <w:i/>
          <w:iCs/>
          <w:noProof/>
          <w:sz w:val="24"/>
          <w:szCs w:val="24"/>
        </w:rPr>
        <w:t>Journal of Medical Internet Research</w:t>
      </w:r>
      <w:r w:rsidRPr="00F41A4E">
        <w:rPr>
          <w:rFonts w:ascii="Roboto" w:hAnsi="Roboto"/>
          <w:noProof/>
          <w:sz w:val="24"/>
          <w:szCs w:val="24"/>
        </w:rPr>
        <w:t xml:space="preserve">, </w:t>
      </w:r>
      <w:r w:rsidRPr="00F41A4E">
        <w:rPr>
          <w:rFonts w:ascii="Roboto" w:hAnsi="Roboto"/>
          <w:i/>
          <w:iCs/>
          <w:noProof/>
          <w:sz w:val="24"/>
          <w:szCs w:val="24"/>
        </w:rPr>
        <w:t>16</w:t>
      </w:r>
      <w:r w:rsidRPr="00F41A4E">
        <w:rPr>
          <w:rFonts w:ascii="Roboto" w:hAnsi="Roboto"/>
          <w:noProof/>
          <w:sz w:val="24"/>
          <w:szCs w:val="24"/>
        </w:rPr>
        <w:t>(9), e203. https://doi.org/10.2196/jmir.3426</w:t>
      </w:r>
    </w:p>
    <w:p w14:paraId="31530389"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Salazar, L. F., Vivolo-Kantor, A., &amp; Schipani-McLaughlin, A. M. (2019). Theoretical mediators of RealConsent: A web-based sexual violence prevention and bystander education program. </w:t>
      </w:r>
      <w:r w:rsidRPr="00F41A4E">
        <w:rPr>
          <w:rFonts w:ascii="Roboto" w:hAnsi="Roboto"/>
          <w:i/>
          <w:iCs/>
          <w:noProof/>
          <w:sz w:val="24"/>
          <w:szCs w:val="24"/>
        </w:rPr>
        <w:t>Health Education and Behavior</w:t>
      </w:r>
      <w:r w:rsidRPr="00F41A4E">
        <w:rPr>
          <w:rFonts w:ascii="Roboto" w:hAnsi="Roboto"/>
          <w:noProof/>
          <w:sz w:val="24"/>
          <w:szCs w:val="24"/>
        </w:rPr>
        <w:t xml:space="preserve">, </w:t>
      </w:r>
      <w:r w:rsidRPr="00F41A4E">
        <w:rPr>
          <w:rFonts w:ascii="Roboto" w:hAnsi="Roboto"/>
          <w:i/>
          <w:iCs/>
          <w:noProof/>
          <w:sz w:val="24"/>
          <w:szCs w:val="24"/>
        </w:rPr>
        <w:t>46</w:t>
      </w:r>
      <w:r w:rsidRPr="00F41A4E">
        <w:rPr>
          <w:rFonts w:ascii="Roboto" w:hAnsi="Roboto"/>
          <w:noProof/>
          <w:sz w:val="24"/>
          <w:szCs w:val="24"/>
        </w:rPr>
        <w:t>(1), 79–88. https://doi.org/10.1177/1090198118779126</w:t>
      </w:r>
    </w:p>
    <w:p w14:paraId="58BB5BC3"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Senn, C. Y., Eliasziw, M., Barata, P. C., Thurston, W. E., Newby-Clark, I. R., Radtke, H. L., &amp; Hobden, K. L. (2015). Efficacy of a sexual assault resistance program for university women. </w:t>
      </w:r>
      <w:r w:rsidRPr="00F41A4E">
        <w:rPr>
          <w:rFonts w:ascii="Roboto" w:hAnsi="Roboto"/>
          <w:i/>
          <w:iCs/>
          <w:noProof/>
          <w:sz w:val="24"/>
          <w:szCs w:val="24"/>
        </w:rPr>
        <w:t>New England Journal of Medicine</w:t>
      </w:r>
      <w:r w:rsidRPr="00F41A4E">
        <w:rPr>
          <w:rFonts w:ascii="Roboto" w:hAnsi="Roboto"/>
          <w:noProof/>
          <w:sz w:val="24"/>
          <w:szCs w:val="24"/>
        </w:rPr>
        <w:t xml:space="preserve">, </w:t>
      </w:r>
      <w:r w:rsidRPr="00F41A4E">
        <w:rPr>
          <w:rFonts w:ascii="Roboto" w:hAnsi="Roboto"/>
          <w:i/>
          <w:iCs/>
          <w:noProof/>
          <w:sz w:val="24"/>
          <w:szCs w:val="24"/>
        </w:rPr>
        <w:t>372</w:t>
      </w:r>
      <w:r w:rsidRPr="00F41A4E">
        <w:rPr>
          <w:rFonts w:ascii="Roboto" w:hAnsi="Roboto"/>
          <w:noProof/>
          <w:sz w:val="24"/>
          <w:szCs w:val="24"/>
        </w:rPr>
        <w:t>(24), 2326–2335. https://doi.org/10.1056/NEJMsa1411131</w:t>
      </w:r>
    </w:p>
    <w:p w14:paraId="26BC1C23"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Senn, C. Y., Eliasziw, M., Hobden, K. L., Newby-Clark, I. R., Barata, P. C., Radtke, H. L., &amp; Thurston, W. E. (2017). Secondary and 2-year outcomes of a sexual assault resistance program for university women. </w:t>
      </w:r>
      <w:r w:rsidRPr="00F41A4E">
        <w:rPr>
          <w:rFonts w:ascii="Roboto" w:hAnsi="Roboto"/>
          <w:i/>
          <w:iCs/>
          <w:noProof/>
          <w:sz w:val="24"/>
          <w:szCs w:val="24"/>
        </w:rPr>
        <w:t>Psychology of Women Quarterly</w:t>
      </w:r>
      <w:r w:rsidRPr="00F41A4E">
        <w:rPr>
          <w:rFonts w:ascii="Roboto" w:hAnsi="Roboto"/>
          <w:noProof/>
          <w:sz w:val="24"/>
          <w:szCs w:val="24"/>
        </w:rPr>
        <w:t xml:space="preserve">, </w:t>
      </w:r>
      <w:r w:rsidRPr="00F41A4E">
        <w:rPr>
          <w:rFonts w:ascii="Roboto" w:hAnsi="Roboto"/>
          <w:i/>
          <w:iCs/>
          <w:noProof/>
          <w:sz w:val="24"/>
          <w:szCs w:val="24"/>
        </w:rPr>
        <w:t>41</w:t>
      </w:r>
      <w:r w:rsidRPr="00F41A4E">
        <w:rPr>
          <w:rFonts w:ascii="Roboto" w:hAnsi="Roboto"/>
          <w:noProof/>
          <w:sz w:val="24"/>
          <w:szCs w:val="24"/>
        </w:rPr>
        <w:t>(2), 147–162. https://doi.org/10.1177/0361684317690119</w:t>
      </w:r>
    </w:p>
    <w:p w14:paraId="19902B75"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Taft, A., Kalms, N., Hooker, L., Forsdike, K., Henry, N., Matthewson, G., Ison, J., Bawden, G., Webb, I., &amp; Korsmeyer, H. (2020). </w:t>
      </w:r>
      <w:r w:rsidRPr="00F41A4E">
        <w:rPr>
          <w:rFonts w:ascii="Roboto" w:hAnsi="Roboto"/>
          <w:i/>
          <w:iCs/>
          <w:noProof/>
          <w:sz w:val="24"/>
          <w:szCs w:val="24"/>
        </w:rPr>
        <w:t>Improving the safety of women and girls on public transport (TramLab)</w:t>
      </w:r>
      <w:r w:rsidRPr="00F41A4E">
        <w:rPr>
          <w:rFonts w:ascii="Roboto" w:hAnsi="Roboto"/>
          <w:noProof/>
          <w:sz w:val="24"/>
          <w:szCs w:val="24"/>
        </w:rPr>
        <w:t>.</w:t>
      </w:r>
    </w:p>
    <w:p w14:paraId="4ADFD895"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UN Women. (2015). </w:t>
      </w:r>
      <w:r w:rsidRPr="00F41A4E">
        <w:rPr>
          <w:rFonts w:ascii="Roboto" w:hAnsi="Roboto"/>
          <w:i/>
          <w:iCs/>
          <w:noProof/>
          <w:sz w:val="24"/>
          <w:szCs w:val="24"/>
        </w:rPr>
        <w:t>A framework to underpin action to prevent violence against women</w:t>
      </w:r>
      <w:r w:rsidRPr="00F41A4E">
        <w:rPr>
          <w:rFonts w:ascii="Roboto" w:hAnsi="Roboto"/>
          <w:noProof/>
          <w:sz w:val="24"/>
          <w:szCs w:val="24"/>
        </w:rPr>
        <w:t>. https://www.unwomen.org/-/media/headquarters/attachments/sections/library/publications/2015/prevention_framework_unwomen_nov2015.pdf?la=en&amp;vs=5223</w:t>
      </w:r>
    </w:p>
    <w:p w14:paraId="0884A4FF"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US Department of Defense. (2014). </w:t>
      </w:r>
      <w:r w:rsidRPr="00F41A4E">
        <w:rPr>
          <w:rFonts w:ascii="Roboto" w:hAnsi="Roboto"/>
          <w:i/>
          <w:iCs/>
          <w:noProof/>
          <w:sz w:val="24"/>
          <w:szCs w:val="24"/>
        </w:rPr>
        <w:t>Report to the president of the United States on sexual assault prevention and response</w:t>
      </w:r>
      <w:r w:rsidRPr="00F41A4E">
        <w:rPr>
          <w:rFonts w:ascii="Roboto" w:hAnsi="Roboto"/>
          <w:noProof/>
          <w:sz w:val="24"/>
          <w:szCs w:val="24"/>
        </w:rPr>
        <w:t>. Department of Defense.</w:t>
      </w:r>
    </w:p>
    <w:p w14:paraId="5C4933DA" w14:textId="77777777" w:rsidR="00B1740D" w:rsidRDefault="00B1740D">
      <w:pPr>
        <w:spacing w:after="0" w:line="240" w:lineRule="auto"/>
        <w:rPr>
          <w:rFonts w:ascii="Roboto" w:hAnsi="Roboto"/>
          <w:noProof/>
          <w:sz w:val="24"/>
          <w:szCs w:val="24"/>
        </w:rPr>
      </w:pPr>
      <w:r>
        <w:rPr>
          <w:rFonts w:ascii="Roboto" w:hAnsi="Roboto"/>
          <w:noProof/>
          <w:sz w:val="24"/>
          <w:szCs w:val="24"/>
        </w:rPr>
        <w:br w:type="page"/>
      </w:r>
    </w:p>
    <w:p w14:paraId="63BA8E72" w14:textId="794EBA2C"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lastRenderedPageBreak/>
        <w:t xml:space="preserve">Webster, K., Diemer, K., Honey, N., Mannix, S., Mickle, J., Morgan, J., Parkes, A., Politoff, V., Powell, A., Stubbs, J., &amp; Ward, A. (2017). </w:t>
      </w:r>
      <w:r w:rsidRPr="00F41A4E">
        <w:rPr>
          <w:rFonts w:ascii="Roboto" w:hAnsi="Roboto"/>
          <w:i/>
          <w:iCs/>
          <w:noProof/>
          <w:sz w:val="24"/>
          <w:szCs w:val="24"/>
        </w:rPr>
        <w:t>Australians’ attitudes to violence against women and gender equality. Findings from the 2017 National Community Attitudes Survey towards Violence against Women Survey</w:t>
      </w:r>
      <w:r w:rsidRPr="00F41A4E">
        <w:rPr>
          <w:rFonts w:ascii="Roboto" w:hAnsi="Roboto"/>
          <w:noProof/>
          <w:sz w:val="24"/>
          <w:szCs w:val="24"/>
        </w:rPr>
        <w:t>. ANROWS. https://ncas.anrows.org.au/wp-content/uploads/2019/04/300419_NCAS_Summary_Report.pdf</w:t>
      </w:r>
    </w:p>
    <w:p w14:paraId="06F79405"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Whitzman, C., Marathe, R., &amp; Thompson, J. (2019). </w:t>
      </w:r>
      <w:r w:rsidRPr="00F41A4E">
        <w:rPr>
          <w:rFonts w:ascii="Roboto" w:hAnsi="Roboto"/>
          <w:i/>
          <w:iCs/>
          <w:noProof/>
          <w:sz w:val="24"/>
          <w:szCs w:val="24"/>
        </w:rPr>
        <w:t>Tertiary students’ public transport safety in Melbourne, Australia part of a 17-city international study</w:t>
      </w:r>
      <w:r w:rsidRPr="00F41A4E">
        <w:rPr>
          <w:rFonts w:ascii="Roboto" w:hAnsi="Roboto"/>
          <w:noProof/>
          <w:sz w:val="24"/>
          <w:szCs w:val="24"/>
        </w:rPr>
        <w:t xml:space="preserve"> (Issue January).</w:t>
      </w:r>
    </w:p>
    <w:p w14:paraId="62F626CE"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szCs w:val="24"/>
        </w:rPr>
      </w:pPr>
      <w:r w:rsidRPr="00F41A4E">
        <w:rPr>
          <w:rFonts w:ascii="Roboto" w:hAnsi="Roboto"/>
          <w:noProof/>
          <w:sz w:val="24"/>
          <w:szCs w:val="24"/>
        </w:rPr>
        <w:t xml:space="preserve">World Health Organization. (2013). </w:t>
      </w:r>
      <w:r w:rsidRPr="00F41A4E">
        <w:rPr>
          <w:rFonts w:ascii="Roboto" w:hAnsi="Roboto"/>
          <w:i/>
          <w:iCs/>
          <w:noProof/>
          <w:sz w:val="24"/>
          <w:szCs w:val="24"/>
        </w:rPr>
        <w:t>Responding to intimate partner violence and sexual violence against women WHO clinical and policy guidelines</w:t>
      </w:r>
      <w:r w:rsidRPr="00F41A4E">
        <w:rPr>
          <w:rFonts w:ascii="Roboto" w:hAnsi="Roboto"/>
          <w:noProof/>
          <w:sz w:val="24"/>
          <w:szCs w:val="24"/>
        </w:rPr>
        <w:t>. WHO.</w:t>
      </w:r>
    </w:p>
    <w:p w14:paraId="183BA65F" w14:textId="77777777" w:rsidR="00F41A4E" w:rsidRPr="00F41A4E" w:rsidRDefault="00F41A4E" w:rsidP="00F41A4E">
      <w:pPr>
        <w:widowControl w:val="0"/>
        <w:autoSpaceDE w:val="0"/>
        <w:autoSpaceDN w:val="0"/>
        <w:adjustRightInd w:val="0"/>
        <w:spacing w:line="240" w:lineRule="auto"/>
        <w:ind w:left="480" w:hanging="480"/>
        <w:rPr>
          <w:rFonts w:ascii="Roboto" w:hAnsi="Roboto"/>
          <w:noProof/>
          <w:sz w:val="24"/>
        </w:rPr>
      </w:pPr>
      <w:r w:rsidRPr="00F41A4E">
        <w:rPr>
          <w:rFonts w:ascii="Roboto" w:hAnsi="Roboto"/>
          <w:noProof/>
          <w:sz w:val="24"/>
          <w:szCs w:val="24"/>
        </w:rPr>
        <w:t xml:space="preserve">World Health Organization. (2019). </w:t>
      </w:r>
      <w:r w:rsidRPr="00F41A4E">
        <w:rPr>
          <w:rFonts w:ascii="Roboto" w:hAnsi="Roboto"/>
          <w:i/>
          <w:iCs/>
          <w:noProof/>
          <w:sz w:val="24"/>
          <w:szCs w:val="24"/>
        </w:rPr>
        <w:t>RESPECT women: Preventing violence against women</w:t>
      </w:r>
      <w:r w:rsidRPr="00F41A4E">
        <w:rPr>
          <w:rFonts w:ascii="Roboto" w:hAnsi="Roboto"/>
          <w:noProof/>
          <w:sz w:val="24"/>
          <w:szCs w:val="24"/>
        </w:rPr>
        <w:t xml:space="preserve"> (Issue WHO/RHR/18.19). WHO.</w:t>
      </w:r>
    </w:p>
    <w:p w14:paraId="4E229CF2" w14:textId="5AD2EBB6" w:rsidR="008A1E87" w:rsidRPr="008A1E87" w:rsidRDefault="00F41A4E" w:rsidP="008A1E87">
      <w:pPr>
        <w:rPr>
          <w:sz w:val="24"/>
          <w:szCs w:val="24"/>
          <w:lang w:bidi="en-US"/>
        </w:rPr>
      </w:pPr>
      <w:r>
        <w:rPr>
          <w:sz w:val="24"/>
          <w:szCs w:val="24"/>
          <w:lang w:bidi="en-US"/>
        </w:rPr>
        <w:fldChar w:fldCharType="end"/>
      </w:r>
    </w:p>
    <w:sectPr w:rsidR="008A1E87" w:rsidRPr="008A1E87" w:rsidSect="00F52DE8">
      <w:pgSz w:w="11906" w:h="16838" w:code="9"/>
      <w:pgMar w:top="2240" w:right="709" w:bottom="1276" w:left="1418"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F9ACEA" w14:textId="77777777" w:rsidR="009650EF" w:rsidRDefault="009650EF" w:rsidP="0024070F">
      <w:r>
        <w:separator/>
      </w:r>
    </w:p>
    <w:p w14:paraId="336B3672" w14:textId="77777777" w:rsidR="009650EF" w:rsidRDefault="009650EF" w:rsidP="0024070F"/>
    <w:p w14:paraId="3314780D" w14:textId="77777777" w:rsidR="009650EF" w:rsidRDefault="009650EF" w:rsidP="0024070F"/>
    <w:p w14:paraId="334E4CE3" w14:textId="77777777" w:rsidR="009650EF" w:rsidRDefault="009650EF"/>
  </w:endnote>
  <w:endnote w:type="continuationSeparator" w:id="0">
    <w:p w14:paraId="37251C7D" w14:textId="77777777" w:rsidR="009650EF" w:rsidRDefault="009650EF" w:rsidP="0024070F">
      <w:r>
        <w:continuationSeparator/>
      </w:r>
    </w:p>
    <w:p w14:paraId="25C2B257" w14:textId="77777777" w:rsidR="009650EF" w:rsidRDefault="009650EF" w:rsidP="0024070F"/>
    <w:p w14:paraId="39407FA9" w14:textId="77777777" w:rsidR="009650EF" w:rsidRDefault="009650EF" w:rsidP="0024070F"/>
    <w:p w14:paraId="7A6E37E1" w14:textId="77777777" w:rsidR="009650EF" w:rsidRDefault="009650EF"/>
  </w:endnote>
  <w:endnote w:type="continuationNotice" w:id="1">
    <w:p w14:paraId="710D6997" w14:textId="77777777" w:rsidR="009650EF" w:rsidRDefault="009650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00000001"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Medium">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rioni Std Medium">
    <w:altName w:val="Calibri"/>
    <w:panose1 w:val="00000000000000000000"/>
    <w:charset w:val="00"/>
    <w:family w:val="modern"/>
    <w:notTrueType/>
    <w:pitch w:val="variable"/>
    <w:sig w:usb0="A000003F" w:usb1="5001E47B" w:usb2="00000000" w:usb3="00000000" w:csb0="00000093" w:csb1="00000000"/>
  </w:font>
  <w:font w:name="Georgia">
    <w:panose1 w:val="02040502050405020303"/>
    <w:charset w:val="00"/>
    <w:family w:val="roman"/>
    <w:pitch w:val="variable"/>
    <w:sig w:usb0="00000287" w:usb1="00000000" w:usb2="00000000" w:usb3="00000000" w:csb0="0000009F" w:csb1="00000000"/>
  </w:font>
  <w:font w:name="Times New Roman (Headings CS)">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Roboto-Regular">
    <w:altName w:val="Times New Roman"/>
    <w:charset w:val="00"/>
    <w:family w:val="auto"/>
    <w:pitch w:val="variable"/>
    <w:sig w:usb0="00000001" w:usb1="5000205B" w:usb2="00000020" w:usb3="00000000" w:csb0="0000019F" w:csb1="00000000"/>
  </w:font>
  <w:font w:name="Roboto-Italic">
    <w:altName w:val="Times New Roman"/>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FF853" w14:textId="202D9EE1" w:rsidR="002423D7" w:rsidRDefault="002423D7">
    <w:pPr>
      <w:pStyle w:val="Footer"/>
      <w:jc w:val="right"/>
    </w:pPr>
  </w:p>
  <w:p w14:paraId="0EC87143" w14:textId="77777777" w:rsidR="002423D7" w:rsidRPr="00292F96" w:rsidRDefault="002423D7" w:rsidP="009C7BF2">
    <w:pPr>
      <w:pStyle w:val="LTU-Disclaimer-SubheadLine"/>
      <w:rPr>
        <w:color w:val="auto"/>
      </w:rPr>
    </w:pPr>
    <w:r w:rsidRPr="00292F96">
      <w:rPr>
        <w:color w:val="auto"/>
      </w:rPr>
      <w:t>Disclaimer</w:t>
    </w:r>
  </w:p>
  <w:p w14:paraId="3AADC832" w14:textId="77777777" w:rsidR="002423D7" w:rsidRPr="00292F96" w:rsidRDefault="002423D7" w:rsidP="009C7BF2">
    <w:pPr>
      <w:pStyle w:val="LTU-Disclaimer-Body"/>
      <w:rPr>
        <w:color w:val="auto"/>
      </w:rPr>
    </w:pPr>
    <w:r w:rsidRPr="00292F96">
      <w:rPr>
        <w:color w:val="auto"/>
      </w:rPr>
      <w:t>The information contained in this publication is indicative only. While every effort is made to provide full and accurate information at the time of publication, the University does not give any warranties in relation to the accuracy and completeness of the contents. The University reserves the right to make changes without notice at any time in its absolute discretion, including but not limited to varying admission and assessment requirements, and discontinuing or varying courses. To the extent permitted by law, the University does not accept responsibility of liability for any injury, loss, claim or damage arising out of or in any way connected with the use of the information contained in this publication or any error, omission or defect in the information contained in this publication.</w:t>
    </w:r>
  </w:p>
  <w:p w14:paraId="37E5EA20" w14:textId="77777777" w:rsidR="002423D7" w:rsidRPr="00292F96" w:rsidRDefault="002423D7" w:rsidP="009C7BF2">
    <w:pPr>
      <w:pStyle w:val="LTU-Disclaimer-Body"/>
      <w:rPr>
        <w:color w:val="auto"/>
      </w:rPr>
    </w:pPr>
    <w:r w:rsidRPr="00292F96">
      <w:rPr>
        <w:color w:val="auto"/>
      </w:rPr>
      <w:t>La Trobe University is a registered provider under the Commonwealth Register of Institutions and Courses for Overseas Students (CRICOS). La Trobe University CRICOS Provider Code Number 00115M</w:t>
    </w:r>
  </w:p>
  <w:p w14:paraId="742BD6A1" w14:textId="7B2C8672" w:rsidR="002423D7" w:rsidRPr="006A3E43" w:rsidRDefault="002423D7" w:rsidP="006A3E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5264259"/>
      <w:docPartObj>
        <w:docPartGallery w:val="Page Numbers (Bottom of Page)"/>
        <w:docPartUnique/>
      </w:docPartObj>
    </w:sdtPr>
    <w:sdtEndPr>
      <w:rPr>
        <w:noProof/>
      </w:rPr>
    </w:sdtEndPr>
    <w:sdtContent>
      <w:p w14:paraId="2B25778E" w14:textId="31BFD63B" w:rsidR="002423D7" w:rsidRDefault="002423D7" w:rsidP="008A5E2D">
        <w:pPr>
          <w:pStyle w:val="LTU-Footer-Left"/>
          <w:ind w:right="-2"/>
          <w:jc w:val="right"/>
        </w:pPr>
        <w:r w:rsidRPr="00292F96">
          <w:rPr>
            <w:color w:val="auto"/>
          </w:rPr>
          <w:fldChar w:fldCharType="begin"/>
        </w:r>
        <w:r w:rsidRPr="00292F96">
          <w:rPr>
            <w:color w:val="auto"/>
          </w:rPr>
          <w:instrText xml:space="preserve"> PAGE   \* MERGEFORMAT </w:instrText>
        </w:r>
        <w:r w:rsidRPr="00292F96">
          <w:rPr>
            <w:color w:val="auto"/>
          </w:rPr>
          <w:fldChar w:fldCharType="separate"/>
        </w:r>
        <w:r w:rsidR="00932B2F">
          <w:rPr>
            <w:noProof/>
            <w:color w:val="auto"/>
          </w:rPr>
          <w:t>21</w:t>
        </w:r>
        <w:r w:rsidRPr="00292F96">
          <w:rPr>
            <w:color w:val="auto"/>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4506111"/>
      <w:docPartObj>
        <w:docPartGallery w:val="Page Numbers (Bottom of Page)"/>
        <w:docPartUnique/>
      </w:docPartObj>
    </w:sdtPr>
    <w:sdtEndPr>
      <w:rPr>
        <w:noProof/>
      </w:rPr>
    </w:sdtEndPr>
    <w:sdtContent>
      <w:p w14:paraId="71B67DAF" w14:textId="5391A4F1" w:rsidR="002423D7" w:rsidRPr="006A3E43" w:rsidRDefault="002423D7" w:rsidP="006A3E43">
        <w:pPr>
          <w:pStyle w:val="Footer"/>
        </w:pPr>
        <w:r>
          <w:fldChar w:fldCharType="begin"/>
        </w:r>
        <w:r>
          <w:instrText xml:space="preserve"> PAGE   \* MERGEFORMAT </w:instrText>
        </w:r>
        <w:r>
          <w:fldChar w:fldCharType="separate"/>
        </w:r>
        <w:r w:rsidR="00932B2F">
          <w:rPr>
            <w:noProof/>
          </w:rPr>
          <w:t>22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AED46A" w14:textId="77777777" w:rsidR="009650EF" w:rsidRDefault="009650EF" w:rsidP="0024070F">
      <w:pPr>
        <w:pStyle w:val="LTU-Footnote"/>
      </w:pPr>
      <w:r w:rsidRPr="002E381B">
        <w:separator/>
      </w:r>
    </w:p>
    <w:p w14:paraId="2817A4B3" w14:textId="77777777" w:rsidR="009650EF" w:rsidRDefault="009650EF"/>
  </w:footnote>
  <w:footnote w:type="continuationSeparator" w:id="0">
    <w:p w14:paraId="2564A61A" w14:textId="77777777" w:rsidR="009650EF" w:rsidRDefault="009650EF" w:rsidP="0024070F">
      <w:r>
        <w:continuationSeparator/>
      </w:r>
    </w:p>
    <w:p w14:paraId="2144EA85" w14:textId="77777777" w:rsidR="009650EF" w:rsidRDefault="009650EF" w:rsidP="0024070F"/>
    <w:p w14:paraId="6BE5B732" w14:textId="77777777" w:rsidR="009650EF" w:rsidRDefault="009650EF" w:rsidP="0024070F"/>
    <w:p w14:paraId="66B1F2EC" w14:textId="77777777" w:rsidR="009650EF" w:rsidRDefault="009650EF"/>
  </w:footnote>
  <w:footnote w:type="continuationNotice" w:id="1">
    <w:p w14:paraId="34290AF4" w14:textId="77777777" w:rsidR="009650EF" w:rsidRDefault="009650E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0B74A" w14:textId="01AE90DB" w:rsidR="00A446F1" w:rsidRPr="00292F96" w:rsidRDefault="0088006D" w:rsidP="0088006D">
    <w:pPr>
      <w:pStyle w:val="LTU-Header-Left"/>
      <w:ind w:right="-2"/>
      <w:rPr>
        <w:color w:val="auto"/>
        <w:sz w:val="16"/>
        <w:szCs w:val="16"/>
      </w:rPr>
    </w:pPr>
    <w:r w:rsidRPr="00292F96">
      <w:rPr>
        <w:rStyle w:val="MediumGrid11"/>
        <w:color w:val="auto"/>
        <w:sz w:val="16"/>
        <w:szCs w:val="16"/>
      </w:rPr>
      <w:t>Primary Prevention of Sexual Violence and Harassment Against Women and Girls: Combining Evidence and Practice Knowledge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23195" w14:textId="354D26EC" w:rsidR="002423D7" w:rsidRPr="00292F96" w:rsidRDefault="002423D7" w:rsidP="00CA3970">
    <w:pPr>
      <w:pStyle w:val="LTU-Header-Left"/>
      <w:ind w:right="-2"/>
      <w:jc w:val="right"/>
      <w:rPr>
        <w:color w:val="auto"/>
        <w:sz w:val="16"/>
        <w:szCs w:val="16"/>
      </w:rPr>
    </w:pPr>
    <w:r w:rsidRPr="00292F96">
      <w:rPr>
        <w:rStyle w:val="MediumGrid11"/>
        <w:color w:val="auto"/>
        <w:sz w:val="16"/>
        <w:szCs w:val="16"/>
      </w:rPr>
      <w:t>Primary Prevention of Sexual Violence and Harassment Against Women and Girls: Combining Evidence and Practice Knowledge</w:t>
    </w:r>
  </w:p>
  <w:p w14:paraId="6BA50681" w14:textId="77777777" w:rsidR="002423D7" w:rsidRPr="003347EC" w:rsidRDefault="002423D7" w:rsidP="003347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E5B79" w14:textId="6722176D" w:rsidR="00EA5A97" w:rsidRPr="00EA5A97" w:rsidRDefault="00EA5A97" w:rsidP="00EA5A97">
    <w:pPr>
      <w:pStyle w:val="LTU-Header-Left"/>
      <w:ind w:right="-2"/>
      <w:rPr>
        <w:color w:val="auto"/>
        <w:sz w:val="16"/>
        <w:szCs w:val="16"/>
      </w:rPr>
    </w:pPr>
    <w:r w:rsidRPr="00292F96">
      <w:rPr>
        <w:rStyle w:val="MediumGrid11"/>
        <w:color w:val="auto"/>
        <w:sz w:val="16"/>
        <w:szCs w:val="16"/>
      </w:rPr>
      <w:t>Primary Prevention of Sexual Violence and Harassment Against Women and Girls: Combining Evidence and Practice Knowledge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0EE90D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54F2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8F04D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C5ABF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432BB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E480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92421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F0C79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7CCCC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E5028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E9653F"/>
    <w:multiLevelType w:val="hybridMultilevel"/>
    <w:tmpl w:val="CBF047B8"/>
    <w:lvl w:ilvl="0" w:tplc="FFFFFFFF">
      <w:start w:val="1"/>
      <w:numFmt w:val="bullet"/>
      <w:lvlText w:val=""/>
      <w:lvlJc w:val="left"/>
      <w:pPr>
        <w:ind w:left="720" w:hanging="360"/>
      </w:pPr>
      <w:rPr>
        <w:rFonts w:ascii="Wingdings" w:hAnsi="Wingdings" w:hint="default"/>
        <w:color w:val="EE312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2923CCF"/>
    <w:multiLevelType w:val="hybridMultilevel"/>
    <w:tmpl w:val="CCA20B38"/>
    <w:lvl w:ilvl="0" w:tplc="3FA2BDB8">
      <w:start w:val="1"/>
      <w:numFmt w:val="decimal"/>
      <w:pStyle w:val="LTU-Bulletlistnumber0pt"/>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85018EE"/>
    <w:multiLevelType w:val="multilevel"/>
    <w:tmpl w:val="629EA2C0"/>
    <w:styleLink w:val="CurrentList3"/>
    <w:lvl w:ilvl="0">
      <w:start w:val="1"/>
      <w:numFmt w:val="bullet"/>
      <w:lvlText w:val=""/>
      <w:lvlJc w:val="left"/>
      <w:pPr>
        <w:ind w:left="360" w:hanging="360"/>
      </w:pPr>
      <w:rPr>
        <w:rFonts w:ascii="Wingdings" w:hAnsi="Wingdings"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0AEF1822"/>
    <w:multiLevelType w:val="hybridMultilevel"/>
    <w:tmpl w:val="A7304884"/>
    <w:lvl w:ilvl="0" w:tplc="FFFFFFFF">
      <w:start w:val="1"/>
      <w:numFmt w:val="bullet"/>
      <w:lvlText w:val=""/>
      <w:lvlJc w:val="left"/>
      <w:pPr>
        <w:ind w:left="1287" w:hanging="360"/>
      </w:pPr>
      <w:rPr>
        <w:rFonts w:ascii="Wingdings" w:hAnsi="Wingdings" w:hint="default"/>
        <w:color w:val="EE3124" w:themeColor="accent1"/>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0F707378"/>
    <w:multiLevelType w:val="hybridMultilevel"/>
    <w:tmpl w:val="10E46460"/>
    <w:lvl w:ilvl="0" w:tplc="FFFFFFFF">
      <w:start w:val="1"/>
      <w:numFmt w:val="bullet"/>
      <w:lvlText w:val=""/>
      <w:lvlJc w:val="left"/>
      <w:pPr>
        <w:ind w:left="1287" w:hanging="360"/>
      </w:pPr>
      <w:rPr>
        <w:rFonts w:ascii="Wingdings" w:hAnsi="Wingdings" w:hint="default"/>
        <w:color w:val="EE3124" w:themeColor="accent1"/>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12853ECB"/>
    <w:multiLevelType w:val="hybridMultilevel"/>
    <w:tmpl w:val="4FDC078C"/>
    <w:lvl w:ilvl="0" w:tplc="6EFE8496">
      <w:start w:val="1"/>
      <w:numFmt w:val="bullet"/>
      <w:lvlText w:val=""/>
      <w:lvlJc w:val="left"/>
      <w:pPr>
        <w:ind w:left="720" w:hanging="360"/>
      </w:pPr>
      <w:rPr>
        <w:rFonts w:ascii="Wingdings" w:hAnsi="Wingdings" w:hint="default"/>
        <w:color w:val="EE3124" w:themeColor="accent1"/>
      </w:rPr>
    </w:lvl>
    <w:lvl w:ilvl="1" w:tplc="CB5C0FBE">
      <w:start w:val="1"/>
      <w:numFmt w:val="bullet"/>
      <w:lvlText w:val="o"/>
      <w:lvlJc w:val="left"/>
      <w:pPr>
        <w:ind w:left="1440" w:hanging="360"/>
      </w:pPr>
      <w:rPr>
        <w:rFonts w:ascii="Courier New" w:hAnsi="Courier New" w:hint="default"/>
      </w:rPr>
    </w:lvl>
    <w:lvl w:ilvl="2" w:tplc="684248B6">
      <w:start w:val="1"/>
      <w:numFmt w:val="bullet"/>
      <w:lvlText w:val=""/>
      <w:lvlJc w:val="left"/>
      <w:pPr>
        <w:ind w:left="2160" w:hanging="360"/>
      </w:pPr>
      <w:rPr>
        <w:rFonts w:ascii="Wingdings" w:hAnsi="Wingdings" w:hint="default"/>
      </w:rPr>
    </w:lvl>
    <w:lvl w:ilvl="3" w:tplc="C45ECC20">
      <w:start w:val="1"/>
      <w:numFmt w:val="bullet"/>
      <w:lvlText w:val=""/>
      <w:lvlJc w:val="left"/>
      <w:pPr>
        <w:ind w:left="2880" w:hanging="360"/>
      </w:pPr>
      <w:rPr>
        <w:rFonts w:ascii="Symbol" w:hAnsi="Symbol" w:hint="default"/>
      </w:rPr>
    </w:lvl>
    <w:lvl w:ilvl="4" w:tplc="956A9DA2">
      <w:start w:val="1"/>
      <w:numFmt w:val="bullet"/>
      <w:lvlText w:val="o"/>
      <w:lvlJc w:val="left"/>
      <w:pPr>
        <w:ind w:left="3600" w:hanging="360"/>
      </w:pPr>
      <w:rPr>
        <w:rFonts w:ascii="Courier New" w:hAnsi="Courier New" w:hint="default"/>
      </w:rPr>
    </w:lvl>
    <w:lvl w:ilvl="5" w:tplc="D1DC66C2">
      <w:start w:val="1"/>
      <w:numFmt w:val="bullet"/>
      <w:lvlText w:val=""/>
      <w:lvlJc w:val="left"/>
      <w:pPr>
        <w:ind w:left="4320" w:hanging="360"/>
      </w:pPr>
      <w:rPr>
        <w:rFonts w:ascii="Wingdings" w:hAnsi="Wingdings" w:hint="default"/>
      </w:rPr>
    </w:lvl>
    <w:lvl w:ilvl="6" w:tplc="91284142">
      <w:start w:val="1"/>
      <w:numFmt w:val="bullet"/>
      <w:lvlText w:val=""/>
      <w:lvlJc w:val="left"/>
      <w:pPr>
        <w:ind w:left="5040" w:hanging="360"/>
      </w:pPr>
      <w:rPr>
        <w:rFonts w:ascii="Symbol" w:hAnsi="Symbol" w:hint="default"/>
      </w:rPr>
    </w:lvl>
    <w:lvl w:ilvl="7" w:tplc="CFEAE350">
      <w:start w:val="1"/>
      <w:numFmt w:val="bullet"/>
      <w:lvlText w:val="o"/>
      <w:lvlJc w:val="left"/>
      <w:pPr>
        <w:ind w:left="5760" w:hanging="360"/>
      </w:pPr>
      <w:rPr>
        <w:rFonts w:ascii="Courier New" w:hAnsi="Courier New" w:hint="default"/>
      </w:rPr>
    </w:lvl>
    <w:lvl w:ilvl="8" w:tplc="18082BA0">
      <w:start w:val="1"/>
      <w:numFmt w:val="bullet"/>
      <w:lvlText w:val=""/>
      <w:lvlJc w:val="left"/>
      <w:pPr>
        <w:ind w:left="6480" w:hanging="360"/>
      </w:pPr>
      <w:rPr>
        <w:rFonts w:ascii="Wingdings" w:hAnsi="Wingdings" w:hint="default"/>
      </w:rPr>
    </w:lvl>
  </w:abstractNum>
  <w:abstractNum w:abstractNumId="16" w15:restartNumberingAfterBreak="0">
    <w:nsid w:val="1CCE2EAF"/>
    <w:multiLevelType w:val="hybridMultilevel"/>
    <w:tmpl w:val="7A8A7ABA"/>
    <w:lvl w:ilvl="0" w:tplc="6EF4089A">
      <w:start w:val="1"/>
      <w:numFmt w:val="bullet"/>
      <w:lvlText w:val=""/>
      <w:lvlJc w:val="left"/>
      <w:pPr>
        <w:ind w:left="720" w:hanging="360"/>
      </w:pPr>
      <w:rPr>
        <w:rFonts w:ascii="Wingdings" w:hAnsi="Wingdings" w:hint="default"/>
        <w:color w:val="F0910C"/>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D5B58FF"/>
    <w:multiLevelType w:val="hybridMultilevel"/>
    <w:tmpl w:val="DBE8FCC2"/>
    <w:lvl w:ilvl="0" w:tplc="FFFFFFFF">
      <w:start w:val="1"/>
      <w:numFmt w:val="bullet"/>
      <w:lvlText w:val=""/>
      <w:lvlJc w:val="left"/>
      <w:pPr>
        <w:ind w:left="1287" w:hanging="360"/>
      </w:pPr>
      <w:rPr>
        <w:rFonts w:ascii="Wingdings" w:hAnsi="Wingdings" w:hint="default"/>
        <w:color w:val="EE3124" w:themeColor="accent1"/>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22B369EA"/>
    <w:multiLevelType w:val="hybridMultilevel"/>
    <w:tmpl w:val="22E8A64E"/>
    <w:lvl w:ilvl="0" w:tplc="FFFFFFFF">
      <w:start w:val="1"/>
      <w:numFmt w:val="bullet"/>
      <w:lvlText w:val=""/>
      <w:lvlJc w:val="left"/>
      <w:pPr>
        <w:ind w:left="1287" w:hanging="360"/>
      </w:pPr>
      <w:rPr>
        <w:rFonts w:ascii="Wingdings" w:hAnsi="Wingdings" w:hint="default"/>
        <w:color w:val="EE3124" w:themeColor="accent1"/>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235956B1"/>
    <w:multiLevelType w:val="hybridMultilevel"/>
    <w:tmpl w:val="82DEFA06"/>
    <w:lvl w:ilvl="0" w:tplc="AB708A4C">
      <w:start w:val="1"/>
      <w:numFmt w:val="bullet"/>
      <w:lvlText w:val=""/>
      <w:lvlJc w:val="left"/>
      <w:pPr>
        <w:ind w:left="360" w:hanging="360"/>
      </w:pPr>
      <w:rPr>
        <w:rFonts w:ascii="Wingdings" w:hAnsi="Wingdings" w:hint="default"/>
        <w:color w:val="AB2328"/>
      </w:rPr>
    </w:lvl>
    <w:lvl w:ilvl="1" w:tplc="6CB24E38">
      <w:start w:val="1"/>
      <w:numFmt w:val="bullet"/>
      <w:pStyle w:val="LTU-Bulletssub0pt"/>
      <w:lvlText w:val="-"/>
      <w:lvlJc w:val="left"/>
      <w:pPr>
        <w:ind w:left="1080" w:hanging="360"/>
      </w:pPr>
      <w:rPr>
        <w:rFonts w:ascii="Arial" w:hAnsi="Arial" w:hint="default"/>
        <w:color w:val="696766"/>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D0C51E0"/>
    <w:multiLevelType w:val="hybridMultilevel"/>
    <w:tmpl w:val="AA0E718E"/>
    <w:lvl w:ilvl="0" w:tplc="EE8E7C1E">
      <w:start w:val="1"/>
      <w:numFmt w:val="bullet"/>
      <w:lvlText w:val=""/>
      <w:lvlJc w:val="left"/>
      <w:pPr>
        <w:ind w:left="720" w:hanging="360"/>
      </w:pPr>
      <w:rPr>
        <w:rFonts w:ascii="Wingdings" w:hAnsi="Wingdings" w:hint="default"/>
        <w:color w:val="EE76A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1097245"/>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157185E"/>
    <w:multiLevelType w:val="hybridMultilevel"/>
    <w:tmpl w:val="26EEBFA4"/>
    <w:lvl w:ilvl="0" w:tplc="59EE84CA">
      <w:start w:val="1"/>
      <w:numFmt w:val="bullet"/>
      <w:lvlText w:val=""/>
      <w:lvlJc w:val="left"/>
      <w:pPr>
        <w:ind w:left="720" w:hanging="360"/>
      </w:pPr>
      <w:rPr>
        <w:rFonts w:ascii="Wingdings" w:hAnsi="Wingdings" w:hint="default"/>
        <w:color w:val="20A0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206BB4"/>
    <w:multiLevelType w:val="hybridMultilevel"/>
    <w:tmpl w:val="6A3C14A4"/>
    <w:lvl w:ilvl="0" w:tplc="6EF4089A">
      <w:start w:val="1"/>
      <w:numFmt w:val="bullet"/>
      <w:lvlText w:val=""/>
      <w:lvlJc w:val="left"/>
      <w:pPr>
        <w:ind w:left="720" w:hanging="360"/>
      </w:pPr>
      <w:rPr>
        <w:rFonts w:ascii="Wingdings" w:hAnsi="Wingdings" w:hint="default"/>
        <w:color w:val="F0910C"/>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9855452"/>
    <w:multiLevelType w:val="hybridMultilevel"/>
    <w:tmpl w:val="07E2AC9C"/>
    <w:lvl w:ilvl="0" w:tplc="08090005">
      <w:start w:val="1"/>
      <w:numFmt w:val="bullet"/>
      <w:lvlText w:val=""/>
      <w:lvlJc w:val="left"/>
      <w:pPr>
        <w:ind w:left="1287" w:hanging="360"/>
      </w:pPr>
      <w:rPr>
        <w:rFonts w:ascii="Wingdings" w:hAnsi="Wingdings" w:hint="default"/>
        <w:color w:val="EE3124" w:themeColor="accent1"/>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 w15:restartNumberingAfterBreak="0">
    <w:nsid w:val="410476DD"/>
    <w:multiLevelType w:val="multilevel"/>
    <w:tmpl w:val="629EA2C0"/>
    <w:styleLink w:val="CurrentList4"/>
    <w:lvl w:ilvl="0">
      <w:start w:val="1"/>
      <w:numFmt w:val="bullet"/>
      <w:lvlText w:val=""/>
      <w:lvlJc w:val="left"/>
      <w:pPr>
        <w:ind w:left="360" w:hanging="360"/>
      </w:pPr>
      <w:rPr>
        <w:rFonts w:ascii="Wingdings" w:hAnsi="Wingdings"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44C92029"/>
    <w:multiLevelType w:val="hybridMultilevel"/>
    <w:tmpl w:val="FC527A64"/>
    <w:lvl w:ilvl="0" w:tplc="FFFFFFFF">
      <w:start w:val="1"/>
      <w:numFmt w:val="bullet"/>
      <w:lvlText w:val=""/>
      <w:lvlJc w:val="left"/>
      <w:pPr>
        <w:ind w:left="720" w:hanging="360"/>
      </w:pPr>
      <w:rPr>
        <w:rFonts w:ascii="Wingdings" w:hAnsi="Wingdings" w:hint="default"/>
        <w:color w:val="EE312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7372B6"/>
    <w:multiLevelType w:val="hybridMultilevel"/>
    <w:tmpl w:val="0E8ECEC6"/>
    <w:lvl w:ilvl="0" w:tplc="6EF4089A">
      <w:start w:val="1"/>
      <w:numFmt w:val="bullet"/>
      <w:lvlText w:val=""/>
      <w:lvlJc w:val="left"/>
      <w:pPr>
        <w:ind w:left="720" w:hanging="360"/>
      </w:pPr>
      <w:rPr>
        <w:rFonts w:ascii="Wingdings" w:hAnsi="Wingdings" w:hint="default"/>
        <w:color w:val="F0910C"/>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FCF7E3A"/>
    <w:multiLevelType w:val="hybridMultilevel"/>
    <w:tmpl w:val="9FB2F466"/>
    <w:lvl w:ilvl="0" w:tplc="FFFFFFFF">
      <w:start w:val="1"/>
      <w:numFmt w:val="bullet"/>
      <w:lvlText w:val=""/>
      <w:lvlJc w:val="left"/>
      <w:pPr>
        <w:ind w:left="720" w:hanging="360"/>
      </w:pPr>
      <w:rPr>
        <w:rFonts w:ascii="Wingdings" w:hAnsi="Wingdings" w:hint="default"/>
        <w:color w:val="EE312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5CD70A0"/>
    <w:multiLevelType w:val="hybridMultilevel"/>
    <w:tmpl w:val="E0A46D66"/>
    <w:lvl w:ilvl="0" w:tplc="59EE84CA">
      <w:start w:val="1"/>
      <w:numFmt w:val="bullet"/>
      <w:lvlText w:val=""/>
      <w:lvlJc w:val="left"/>
      <w:pPr>
        <w:ind w:left="720" w:hanging="360"/>
      </w:pPr>
      <w:rPr>
        <w:rFonts w:ascii="Wingdings" w:hAnsi="Wingdings" w:hint="default"/>
        <w:color w:val="20A097"/>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8AD3A85"/>
    <w:multiLevelType w:val="hybridMultilevel"/>
    <w:tmpl w:val="9F3AE3BE"/>
    <w:lvl w:ilvl="0" w:tplc="DD28DFE4">
      <w:start w:val="1"/>
      <w:numFmt w:val="bullet"/>
      <w:pStyle w:val="LTU-Bullets0pt"/>
      <w:lvlText w:val=""/>
      <w:lvlJc w:val="left"/>
      <w:pPr>
        <w:ind w:left="36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B921D8"/>
    <w:multiLevelType w:val="hybridMultilevel"/>
    <w:tmpl w:val="380812A8"/>
    <w:lvl w:ilvl="0" w:tplc="FFFFFFFF">
      <w:start w:val="1"/>
      <w:numFmt w:val="bullet"/>
      <w:lvlText w:val=""/>
      <w:lvlJc w:val="left"/>
      <w:pPr>
        <w:ind w:left="720" w:hanging="360"/>
      </w:pPr>
      <w:rPr>
        <w:rFonts w:ascii="Wingdings" w:hAnsi="Wingdings" w:hint="default"/>
        <w:color w:val="EE3124" w:themeColor="accen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F395CDB"/>
    <w:multiLevelType w:val="hybridMultilevel"/>
    <w:tmpl w:val="DE725396"/>
    <w:lvl w:ilvl="0" w:tplc="FFFFFFFF">
      <w:start w:val="1"/>
      <w:numFmt w:val="bullet"/>
      <w:lvlText w:val=""/>
      <w:lvlJc w:val="left"/>
      <w:pPr>
        <w:ind w:left="1287" w:hanging="360"/>
      </w:pPr>
      <w:rPr>
        <w:rFonts w:ascii="Wingdings" w:hAnsi="Wingdings" w:hint="default"/>
        <w:color w:val="EE3124" w:themeColor="accent1"/>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3" w15:restartNumberingAfterBreak="0">
    <w:nsid w:val="60D76BDC"/>
    <w:multiLevelType w:val="hybridMultilevel"/>
    <w:tmpl w:val="490A8A90"/>
    <w:lvl w:ilvl="0" w:tplc="338E20B4">
      <w:start w:val="1"/>
      <w:numFmt w:val="bullet"/>
      <w:lvlText w:val=""/>
      <w:lvlJc w:val="left"/>
      <w:pPr>
        <w:ind w:left="720" w:hanging="360"/>
      </w:pPr>
      <w:rPr>
        <w:rFonts w:ascii="Wingdings" w:hAnsi="Wingdings" w:hint="default"/>
        <w:color w:val="92990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4F70B1"/>
    <w:multiLevelType w:val="hybridMultilevel"/>
    <w:tmpl w:val="2A02E4D2"/>
    <w:lvl w:ilvl="0" w:tplc="FFFFFFFF">
      <w:start w:val="1"/>
      <w:numFmt w:val="bullet"/>
      <w:lvlText w:val=""/>
      <w:lvlJc w:val="left"/>
      <w:pPr>
        <w:ind w:left="1287" w:hanging="360"/>
      </w:pPr>
      <w:rPr>
        <w:rFonts w:ascii="Wingdings" w:hAnsi="Wingdings" w:hint="default"/>
        <w:color w:val="EE3124" w:themeColor="accent1"/>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5" w15:restartNumberingAfterBreak="0">
    <w:nsid w:val="641017BC"/>
    <w:multiLevelType w:val="hybridMultilevel"/>
    <w:tmpl w:val="53CACF50"/>
    <w:lvl w:ilvl="0" w:tplc="EE8E7C1E">
      <w:start w:val="1"/>
      <w:numFmt w:val="bullet"/>
      <w:lvlText w:val=""/>
      <w:lvlJc w:val="left"/>
      <w:pPr>
        <w:ind w:left="720" w:hanging="360"/>
      </w:pPr>
      <w:rPr>
        <w:rFonts w:ascii="Wingdings" w:hAnsi="Wingdings" w:hint="default"/>
        <w:color w:val="EE76A2"/>
      </w:rPr>
    </w:lvl>
    <w:lvl w:ilvl="1" w:tplc="0C090003" w:tentative="1">
      <w:start w:val="1"/>
      <w:numFmt w:val="bullet"/>
      <w:lvlText w:val="o"/>
      <w:lvlJc w:val="left"/>
      <w:pPr>
        <w:ind w:left="513" w:hanging="360"/>
      </w:pPr>
      <w:rPr>
        <w:rFonts w:ascii="Courier New" w:hAnsi="Courier New" w:cs="Courier New" w:hint="default"/>
      </w:rPr>
    </w:lvl>
    <w:lvl w:ilvl="2" w:tplc="0C090005" w:tentative="1">
      <w:start w:val="1"/>
      <w:numFmt w:val="bullet"/>
      <w:lvlText w:val=""/>
      <w:lvlJc w:val="left"/>
      <w:pPr>
        <w:ind w:left="1233" w:hanging="360"/>
      </w:pPr>
      <w:rPr>
        <w:rFonts w:ascii="Wingdings" w:hAnsi="Wingdings" w:hint="default"/>
      </w:rPr>
    </w:lvl>
    <w:lvl w:ilvl="3" w:tplc="0C090001" w:tentative="1">
      <w:start w:val="1"/>
      <w:numFmt w:val="bullet"/>
      <w:lvlText w:val=""/>
      <w:lvlJc w:val="left"/>
      <w:pPr>
        <w:ind w:left="1953" w:hanging="360"/>
      </w:pPr>
      <w:rPr>
        <w:rFonts w:ascii="Symbol" w:hAnsi="Symbol" w:hint="default"/>
      </w:rPr>
    </w:lvl>
    <w:lvl w:ilvl="4" w:tplc="0C090003" w:tentative="1">
      <w:start w:val="1"/>
      <w:numFmt w:val="bullet"/>
      <w:lvlText w:val="o"/>
      <w:lvlJc w:val="left"/>
      <w:pPr>
        <w:ind w:left="2673" w:hanging="360"/>
      </w:pPr>
      <w:rPr>
        <w:rFonts w:ascii="Courier New" w:hAnsi="Courier New" w:cs="Courier New" w:hint="default"/>
      </w:rPr>
    </w:lvl>
    <w:lvl w:ilvl="5" w:tplc="0C090005" w:tentative="1">
      <w:start w:val="1"/>
      <w:numFmt w:val="bullet"/>
      <w:lvlText w:val=""/>
      <w:lvlJc w:val="left"/>
      <w:pPr>
        <w:ind w:left="3393" w:hanging="360"/>
      </w:pPr>
      <w:rPr>
        <w:rFonts w:ascii="Wingdings" w:hAnsi="Wingdings" w:hint="default"/>
      </w:rPr>
    </w:lvl>
    <w:lvl w:ilvl="6" w:tplc="0C090001" w:tentative="1">
      <w:start w:val="1"/>
      <w:numFmt w:val="bullet"/>
      <w:lvlText w:val=""/>
      <w:lvlJc w:val="left"/>
      <w:pPr>
        <w:ind w:left="4113" w:hanging="360"/>
      </w:pPr>
      <w:rPr>
        <w:rFonts w:ascii="Symbol" w:hAnsi="Symbol" w:hint="default"/>
      </w:rPr>
    </w:lvl>
    <w:lvl w:ilvl="7" w:tplc="0C090003" w:tentative="1">
      <w:start w:val="1"/>
      <w:numFmt w:val="bullet"/>
      <w:lvlText w:val="o"/>
      <w:lvlJc w:val="left"/>
      <w:pPr>
        <w:ind w:left="4833" w:hanging="360"/>
      </w:pPr>
      <w:rPr>
        <w:rFonts w:ascii="Courier New" w:hAnsi="Courier New" w:cs="Courier New" w:hint="default"/>
      </w:rPr>
    </w:lvl>
    <w:lvl w:ilvl="8" w:tplc="0C090005" w:tentative="1">
      <w:start w:val="1"/>
      <w:numFmt w:val="bullet"/>
      <w:lvlText w:val=""/>
      <w:lvlJc w:val="left"/>
      <w:pPr>
        <w:ind w:left="5553" w:hanging="360"/>
      </w:pPr>
      <w:rPr>
        <w:rFonts w:ascii="Wingdings" w:hAnsi="Wingdings" w:hint="default"/>
      </w:rPr>
    </w:lvl>
  </w:abstractNum>
  <w:abstractNum w:abstractNumId="36" w15:restartNumberingAfterBreak="0">
    <w:nsid w:val="6639678C"/>
    <w:multiLevelType w:val="hybridMultilevel"/>
    <w:tmpl w:val="6A3E5A4C"/>
    <w:lvl w:ilvl="0" w:tplc="7E2E1286">
      <w:start w:val="1"/>
      <w:numFmt w:val="bullet"/>
      <w:lvlText w:val=""/>
      <w:lvlJc w:val="left"/>
      <w:pPr>
        <w:ind w:left="360" w:hanging="360"/>
      </w:pPr>
      <w:rPr>
        <w:rFonts w:ascii="Wingdings" w:hAnsi="Wingdings" w:hint="default"/>
        <w:color w:val="FF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64B11D0"/>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6744C82"/>
    <w:multiLevelType w:val="hybridMultilevel"/>
    <w:tmpl w:val="629EA2C0"/>
    <w:lvl w:ilvl="0" w:tplc="8724DC20">
      <w:start w:val="1"/>
      <w:numFmt w:val="bullet"/>
      <w:pStyle w:val="LTU-Bullets10pt"/>
      <w:lvlText w:val=""/>
      <w:lvlJc w:val="left"/>
      <w:pPr>
        <w:ind w:left="360" w:hanging="360"/>
      </w:pPr>
      <w:rPr>
        <w:rFonts w:ascii="Wingdings" w:hAnsi="Wingdings"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562123C"/>
    <w:multiLevelType w:val="hybridMultilevel"/>
    <w:tmpl w:val="E65AAD52"/>
    <w:lvl w:ilvl="0" w:tplc="FFFFFFFF">
      <w:start w:val="1"/>
      <w:numFmt w:val="bullet"/>
      <w:lvlText w:val=""/>
      <w:lvlJc w:val="left"/>
      <w:pPr>
        <w:ind w:left="1287" w:hanging="360"/>
      </w:pPr>
      <w:rPr>
        <w:rFonts w:ascii="Wingdings" w:hAnsi="Wingdings" w:hint="default"/>
        <w:color w:val="EE3124" w:themeColor="accent1"/>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0" w15:restartNumberingAfterBreak="0">
    <w:nsid w:val="757E2D57"/>
    <w:multiLevelType w:val="hybridMultilevel"/>
    <w:tmpl w:val="613EDF40"/>
    <w:lvl w:ilvl="0" w:tplc="EE8E7C1E">
      <w:start w:val="1"/>
      <w:numFmt w:val="bullet"/>
      <w:lvlText w:val=""/>
      <w:lvlJc w:val="left"/>
      <w:pPr>
        <w:ind w:left="720" w:hanging="360"/>
      </w:pPr>
      <w:rPr>
        <w:rFonts w:ascii="Wingdings" w:hAnsi="Wingdings" w:hint="default"/>
        <w:color w:val="EE76A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5A05880"/>
    <w:multiLevelType w:val="hybridMultilevel"/>
    <w:tmpl w:val="F12E34BE"/>
    <w:lvl w:ilvl="0" w:tplc="59EE84CA">
      <w:start w:val="1"/>
      <w:numFmt w:val="bullet"/>
      <w:lvlText w:val=""/>
      <w:lvlJc w:val="left"/>
      <w:pPr>
        <w:ind w:left="720" w:hanging="360"/>
      </w:pPr>
      <w:rPr>
        <w:rFonts w:ascii="Wingdings" w:hAnsi="Wingdings" w:hint="default"/>
        <w:color w:val="20A0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D10D4A"/>
    <w:multiLevelType w:val="hybridMultilevel"/>
    <w:tmpl w:val="189ED29C"/>
    <w:lvl w:ilvl="0" w:tplc="FFFFFFFF">
      <w:start w:val="1"/>
      <w:numFmt w:val="bullet"/>
      <w:lvlText w:val=""/>
      <w:lvlJc w:val="left"/>
      <w:pPr>
        <w:ind w:left="363" w:hanging="360"/>
      </w:pPr>
      <w:rPr>
        <w:rFonts w:ascii="Wingdings" w:hAnsi="Wingdings" w:hint="default"/>
        <w:color w:val="EE3124" w:themeColor="accent1"/>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43" w15:restartNumberingAfterBreak="0">
    <w:nsid w:val="7A975559"/>
    <w:multiLevelType w:val="hybridMultilevel"/>
    <w:tmpl w:val="FEBC3728"/>
    <w:lvl w:ilvl="0" w:tplc="C070109C">
      <w:start w:val="1"/>
      <w:numFmt w:val="decimal"/>
      <w:lvlText w:val="%1."/>
      <w:lvlJc w:val="left"/>
      <w:pPr>
        <w:ind w:left="720" w:hanging="360"/>
      </w:pPr>
      <w:rPr>
        <w:rFonts w:ascii="Roboto" w:hAnsi="Roboto" w:hint="default"/>
        <w:b/>
        <w:i w:val="0"/>
        <w:color w:val="EE3124"/>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ABC4457"/>
    <w:multiLevelType w:val="hybridMultilevel"/>
    <w:tmpl w:val="E7C4F904"/>
    <w:lvl w:ilvl="0" w:tplc="E9588A30">
      <w:start w:val="1"/>
      <w:numFmt w:val="decimal"/>
      <w:pStyle w:val="LTU-Bulletlistnumber10pt"/>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B5A7754"/>
    <w:multiLevelType w:val="hybridMultilevel"/>
    <w:tmpl w:val="53904A0A"/>
    <w:lvl w:ilvl="0" w:tplc="338E20B4">
      <w:start w:val="1"/>
      <w:numFmt w:val="bullet"/>
      <w:lvlText w:val=""/>
      <w:lvlJc w:val="left"/>
      <w:pPr>
        <w:ind w:left="720" w:hanging="360"/>
      </w:pPr>
      <w:rPr>
        <w:rFonts w:ascii="Wingdings" w:hAnsi="Wingdings" w:hint="default"/>
        <w:color w:val="92990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CD96532"/>
    <w:multiLevelType w:val="hybridMultilevel"/>
    <w:tmpl w:val="E77AB1A8"/>
    <w:lvl w:ilvl="0" w:tplc="338E20B4">
      <w:start w:val="1"/>
      <w:numFmt w:val="bullet"/>
      <w:lvlText w:val=""/>
      <w:lvlJc w:val="left"/>
      <w:pPr>
        <w:ind w:left="720" w:hanging="360"/>
      </w:pPr>
      <w:rPr>
        <w:rFonts w:ascii="Wingdings" w:hAnsi="Wingdings" w:hint="default"/>
        <w:color w:val="92990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7E141A11"/>
    <w:multiLevelType w:val="hybridMultilevel"/>
    <w:tmpl w:val="828EED1C"/>
    <w:lvl w:ilvl="0" w:tplc="FFFFFFFF">
      <w:start w:val="1"/>
      <w:numFmt w:val="bullet"/>
      <w:lvlText w:val=""/>
      <w:lvlJc w:val="left"/>
      <w:pPr>
        <w:ind w:left="720" w:hanging="360"/>
      </w:pPr>
      <w:rPr>
        <w:rFonts w:ascii="Wingdings" w:hAnsi="Wingdings" w:hint="default"/>
        <w:color w:val="EE3124" w:themeColor="accent1"/>
      </w:rPr>
    </w:lvl>
    <w:lvl w:ilvl="1" w:tplc="FFFFFFFF">
      <w:start w:val="1"/>
      <w:numFmt w:val="bullet"/>
      <w:lvlText w:val=""/>
      <w:lvlJc w:val="left"/>
      <w:pPr>
        <w:ind w:left="1440" w:hanging="360"/>
      </w:pPr>
      <w:rPr>
        <w:rFonts w:ascii="Wingdings" w:hAnsi="Wingdings" w:hint="default"/>
        <w:color w:val="EE3124" w:themeColor="accent1"/>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8"/>
  </w:num>
  <w:num w:numId="2">
    <w:abstractNumId w:val="15"/>
  </w:num>
  <w:num w:numId="3">
    <w:abstractNumId w:val="42"/>
  </w:num>
  <w:num w:numId="4">
    <w:abstractNumId w:val="31"/>
  </w:num>
  <w:num w:numId="5">
    <w:abstractNumId w:val="28"/>
  </w:num>
  <w:num w:numId="6">
    <w:abstractNumId w:val="26"/>
  </w:num>
  <w:num w:numId="7">
    <w:abstractNumId w:val="10"/>
  </w:num>
  <w:num w:numId="8">
    <w:abstractNumId w:val="13"/>
  </w:num>
  <w:num w:numId="9">
    <w:abstractNumId w:val="18"/>
  </w:num>
  <w:num w:numId="10">
    <w:abstractNumId w:val="17"/>
  </w:num>
  <w:num w:numId="11">
    <w:abstractNumId w:val="32"/>
  </w:num>
  <w:num w:numId="12">
    <w:abstractNumId w:val="14"/>
  </w:num>
  <w:num w:numId="13">
    <w:abstractNumId w:val="35"/>
  </w:num>
  <w:num w:numId="14">
    <w:abstractNumId w:val="40"/>
  </w:num>
  <w:num w:numId="15">
    <w:abstractNumId w:val="20"/>
  </w:num>
  <w:num w:numId="16">
    <w:abstractNumId w:val="23"/>
  </w:num>
  <w:num w:numId="17">
    <w:abstractNumId w:val="16"/>
  </w:num>
  <w:num w:numId="18">
    <w:abstractNumId w:val="27"/>
  </w:num>
  <w:num w:numId="19">
    <w:abstractNumId w:val="47"/>
  </w:num>
  <w:num w:numId="20">
    <w:abstractNumId w:val="24"/>
  </w:num>
  <w:num w:numId="21">
    <w:abstractNumId w:val="34"/>
  </w:num>
  <w:num w:numId="22">
    <w:abstractNumId w:val="39"/>
  </w:num>
  <w:num w:numId="23">
    <w:abstractNumId w:val="46"/>
  </w:num>
  <w:num w:numId="24">
    <w:abstractNumId w:val="45"/>
  </w:num>
  <w:num w:numId="25">
    <w:abstractNumId w:val="33"/>
  </w:num>
  <w:num w:numId="26">
    <w:abstractNumId w:val="29"/>
  </w:num>
  <w:num w:numId="27">
    <w:abstractNumId w:val="22"/>
  </w:num>
  <w:num w:numId="28">
    <w:abstractNumId w:val="41"/>
  </w:num>
  <w:num w:numId="29">
    <w:abstractNumId w:val="19"/>
  </w:num>
  <w:num w:numId="30">
    <w:abstractNumId w:val="44"/>
  </w:num>
  <w:num w:numId="31">
    <w:abstractNumId w:val="11"/>
  </w:num>
  <w:num w:numId="32">
    <w:abstractNumId w:val="38"/>
  </w:num>
  <w:num w:numId="33">
    <w:abstractNumId w:val="9"/>
  </w:num>
  <w:num w:numId="34">
    <w:abstractNumId w:val="43"/>
  </w:num>
  <w:num w:numId="35">
    <w:abstractNumId w:val="36"/>
  </w:num>
  <w:num w:numId="36">
    <w:abstractNumId w:val="0"/>
  </w:num>
  <w:num w:numId="37">
    <w:abstractNumId w:val="1"/>
  </w:num>
  <w:num w:numId="38">
    <w:abstractNumId w:val="2"/>
  </w:num>
  <w:num w:numId="39">
    <w:abstractNumId w:val="3"/>
  </w:num>
  <w:num w:numId="40">
    <w:abstractNumId w:val="8"/>
  </w:num>
  <w:num w:numId="41">
    <w:abstractNumId w:val="4"/>
  </w:num>
  <w:num w:numId="42">
    <w:abstractNumId w:val="5"/>
  </w:num>
  <w:num w:numId="43">
    <w:abstractNumId w:val="6"/>
  </w:num>
  <w:num w:numId="44">
    <w:abstractNumId w:val="7"/>
  </w:num>
  <w:num w:numId="45">
    <w:abstractNumId w:val="37"/>
  </w:num>
  <w:num w:numId="46">
    <w:abstractNumId w:val="30"/>
  </w:num>
  <w:num w:numId="47">
    <w:abstractNumId w:val="21"/>
  </w:num>
  <w:num w:numId="48">
    <w:abstractNumId w:val="12"/>
  </w:num>
  <w:num w:numId="49">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mirrorMargin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drawingGridHorizontalSpacing w:val="90"/>
  <w:displayHorizontalDrawingGridEvery w:val="2"/>
  <w:displayVertic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A0MDA2tjAzMTczMzdT0lEKTi0uzszPAykwM6gFAJgJMgEtAAAA"/>
  </w:docVars>
  <w:rsids>
    <w:rsidRoot w:val="002C76B9"/>
    <w:rsid w:val="00000D98"/>
    <w:rsid w:val="0000135A"/>
    <w:rsid w:val="000027C7"/>
    <w:rsid w:val="000031C8"/>
    <w:rsid w:val="000035BA"/>
    <w:rsid w:val="00003BE0"/>
    <w:rsid w:val="00005054"/>
    <w:rsid w:val="000053F9"/>
    <w:rsid w:val="00005473"/>
    <w:rsid w:val="00005755"/>
    <w:rsid w:val="000065A1"/>
    <w:rsid w:val="000069CF"/>
    <w:rsid w:val="00006AF9"/>
    <w:rsid w:val="00006D52"/>
    <w:rsid w:val="00006D91"/>
    <w:rsid w:val="00007557"/>
    <w:rsid w:val="00007ACD"/>
    <w:rsid w:val="00007ACF"/>
    <w:rsid w:val="00007F03"/>
    <w:rsid w:val="000104AE"/>
    <w:rsid w:val="00011975"/>
    <w:rsid w:val="00011A73"/>
    <w:rsid w:val="000123F3"/>
    <w:rsid w:val="000127A0"/>
    <w:rsid w:val="000130EB"/>
    <w:rsid w:val="00013B42"/>
    <w:rsid w:val="0001448D"/>
    <w:rsid w:val="0001466B"/>
    <w:rsid w:val="00017344"/>
    <w:rsid w:val="000175F8"/>
    <w:rsid w:val="00017CF8"/>
    <w:rsid w:val="00017DB2"/>
    <w:rsid w:val="0001E66F"/>
    <w:rsid w:val="00020A3A"/>
    <w:rsid w:val="00021DBC"/>
    <w:rsid w:val="000220A9"/>
    <w:rsid w:val="00022133"/>
    <w:rsid w:val="000223F3"/>
    <w:rsid w:val="00023C34"/>
    <w:rsid w:val="00024446"/>
    <w:rsid w:val="00024619"/>
    <w:rsid w:val="00024A77"/>
    <w:rsid w:val="00024CF0"/>
    <w:rsid w:val="000253D0"/>
    <w:rsid w:val="00027168"/>
    <w:rsid w:val="000278E3"/>
    <w:rsid w:val="00030176"/>
    <w:rsid w:val="0003045B"/>
    <w:rsid w:val="00031229"/>
    <w:rsid w:val="0003144A"/>
    <w:rsid w:val="0003166F"/>
    <w:rsid w:val="00031678"/>
    <w:rsid w:val="000323EF"/>
    <w:rsid w:val="00032535"/>
    <w:rsid w:val="00032B65"/>
    <w:rsid w:val="0003327B"/>
    <w:rsid w:val="00033D00"/>
    <w:rsid w:val="00034698"/>
    <w:rsid w:val="00034C56"/>
    <w:rsid w:val="0003589B"/>
    <w:rsid w:val="000358E6"/>
    <w:rsid w:val="000359B7"/>
    <w:rsid w:val="00035F19"/>
    <w:rsid w:val="00037303"/>
    <w:rsid w:val="00037B5D"/>
    <w:rsid w:val="00037C9B"/>
    <w:rsid w:val="00037CFA"/>
    <w:rsid w:val="000410E9"/>
    <w:rsid w:val="00041A29"/>
    <w:rsid w:val="00041A97"/>
    <w:rsid w:val="0004207C"/>
    <w:rsid w:val="00042F7F"/>
    <w:rsid w:val="00044A52"/>
    <w:rsid w:val="0004511C"/>
    <w:rsid w:val="00046913"/>
    <w:rsid w:val="00046A29"/>
    <w:rsid w:val="00050094"/>
    <w:rsid w:val="00050113"/>
    <w:rsid w:val="00050345"/>
    <w:rsid w:val="0005074A"/>
    <w:rsid w:val="00050A6C"/>
    <w:rsid w:val="000515E1"/>
    <w:rsid w:val="00051842"/>
    <w:rsid w:val="00051BE7"/>
    <w:rsid w:val="00052650"/>
    <w:rsid w:val="00052965"/>
    <w:rsid w:val="000530DA"/>
    <w:rsid w:val="00053DEB"/>
    <w:rsid w:val="00053F13"/>
    <w:rsid w:val="00054344"/>
    <w:rsid w:val="00054792"/>
    <w:rsid w:val="00054E37"/>
    <w:rsid w:val="00055BAC"/>
    <w:rsid w:val="000562CD"/>
    <w:rsid w:val="00056667"/>
    <w:rsid w:val="000569B5"/>
    <w:rsid w:val="00056B6B"/>
    <w:rsid w:val="00060389"/>
    <w:rsid w:val="0006105B"/>
    <w:rsid w:val="00061A82"/>
    <w:rsid w:val="00062C14"/>
    <w:rsid w:val="00062C8C"/>
    <w:rsid w:val="00063F90"/>
    <w:rsid w:val="000657B0"/>
    <w:rsid w:val="000659D0"/>
    <w:rsid w:val="00066059"/>
    <w:rsid w:val="0006640B"/>
    <w:rsid w:val="000668A3"/>
    <w:rsid w:val="00066D4E"/>
    <w:rsid w:val="00067358"/>
    <w:rsid w:val="000673DB"/>
    <w:rsid w:val="000674BB"/>
    <w:rsid w:val="00070C89"/>
    <w:rsid w:val="00072974"/>
    <w:rsid w:val="00073D86"/>
    <w:rsid w:val="00074515"/>
    <w:rsid w:val="0007585C"/>
    <w:rsid w:val="00076353"/>
    <w:rsid w:val="0007718D"/>
    <w:rsid w:val="00077443"/>
    <w:rsid w:val="00077543"/>
    <w:rsid w:val="00077F7E"/>
    <w:rsid w:val="000804D1"/>
    <w:rsid w:val="0008065A"/>
    <w:rsid w:val="0008070D"/>
    <w:rsid w:val="00080C34"/>
    <w:rsid w:val="00081318"/>
    <w:rsid w:val="00081434"/>
    <w:rsid w:val="00081838"/>
    <w:rsid w:val="00081E41"/>
    <w:rsid w:val="000823DB"/>
    <w:rsid w:val="00082EEB"/>
    <w:rsid w:val="000837D2"/>
    <w:rsid w:val="0008383F"/>
    <w:rsid w:val="00084536"/>
    <w:rsid w:val="0008541A"/>
    <w:rsid w:val="00085517"/>
    <w:rsid w:val="00085B59"/>
    <w:rsid w:val="00085E51"/>
    <w:rsid w:val="0008654C"/>
    <w:rsid w:val="000879C4"/>
    <w:rsid w:val="00087A20"/>
    <w:rsid w:val="000901D0"/>
    <w:rsid w:val="000903CB"/>
    <w:rsid w:val="0009056F"/>
    <w:rsid w:val="00090EF5"/>
    <w:rsid w:val="00091067"/>
    <w:rsid w:val="000920A4"/>
    <w:rsid w:val="00092B9C"/>
    <w:rsid w:val="00092DC1"/>
    <w:rsid w:val="0009362F"/>
    <w:rsid w:val="00093A1E"/>
    <w:rsid w:val="00093BF2"/>
    <w:rsid w:val="000949BC"/>
    <w:rsid w:val="0009624A"/>
    <w:rsid w:val="00096616"/>
    <w:rsid w:val="00096BF7"/>
    <w:rsid w:val="00097887"/>
    <w:rsid w:val="000979BB"/>
    <w:rsid w:val="000A0574"/>
    <w:rsid w:val="000A102E"/>
    <w:rsid w:val="000A1C05"/>
    <w:rsid w:val="000A1F86"/>
    <w:rsid w:val="000A221B"/>
    <w:rsid w:val="000A2A65"/>
    <w:rsid w:val="000A2DA7"/>
    <w:rsid w:val="000A31D2"/>
    <w:rsid w:val="000A3E47"/>
    <w:rsid w:val="000A4EF7"/>
    <w:rsid w:val="000A559A"/>
    <w:rsid w:val="000A59AD"/>
    <w:rsid w:val="000A6DF2"/>
    <w:rsid w:val="000A6E54"/>
    <w:rsid w:val="000A76FD"/>
    <w:rsid w:val="000A7D0C"/>
    <w:rsid w:val="000A7D50"/>
    <w:rsid w:val="000B01EA"/>
    <w:rsid w:val="000B04CB"/>
    <w:rsid w:val="000B06D5"/>
    <w:rsid w:val="000B081F"/>
    <w:rsid w:val="000B0903"/>
    <w:rsid w:val="000B0B00"/>
    <w:rsid w:val="000B0B54"/>
    <w:rsid w:val="000B0F61"/>
    <w:rsid w:val="000B10BA"/>
    <w:rsid w:val="000B158A"/>
    <w:rsid w:val="000B1828"/>
    <w:rsid w:val="000B1B96"/>
    <w:rsid w:val="000B2204"/>
    <w:rsid w:val="000B23D9"/>
    <w:rsid w:val="000B28B2"/>
    <w:rsid w:val="000B2D29"/>
    <w:rsid w:val="000B30FF"/>
    <w:rsid w:val="000B335F"/>
    <w:rsid w:val="000B336A"/>
    <w:rsid w:val="000B44EE"/>
    <w:rsid w:val="000B599C"/>
    <w:rsid w:val="000B5C98"/>
    <w:rsid w:val="000B71BA"/>
    <w:rsid w:val="000B7E12"/>
    <w:rsid w:val="000B7E38"/>
    <w:rsid w:val="000C0223"/>
    <w:rsid w:val="000C1872"/>
    <w:rsid w:val="000C19B3"/>
    <w:rsid w:val="000C28BD"/>
    <w:rsid w:val="000C383F"/>
    <w:rsid w:val="000C38D7"/>
    <w:rsid w:val="000C3CB3"/>
    <w:rsid w:val="000C3FF0"/>
    <w:rsid w:val="000C46FB"/>
    <w:rsid w:val="000C5870"/>
    <w:rsid w:val="000C5990"/>
    <w:rsid w:val="000C5B76"/>
    <w:rsid w:val="000C6124"/>
    <w:rsid w:val="000C6385"/>
    <w:rsid w:val="000C74B0"/>
    <w:rsid w:val="000C754A"/>
    <w:rsid w:val="000C768C"/>
    <w:rsid w:val="000C7B71"/>
    <w:rsid w:val="000C7DAC"/>
    <w:rsid w:val="000CAF56"/>
    <w:rsid w:val="000CDF48"/>
    <w:rsid w:val="000D00E4"/>
    <w:rsid w:val="000D0122"/>
    <w:rsid w:val="000D048D"/>
    <w:rsid w:val="000D05B8"/>
    <w:rsid w:val="000D0B1E"/>
    <w:rsid w:val="000D0FC1"/>
    <w:rsid w:val="000D1580"/>
    <w:rsid w:val="000D244C"/>
    <w:rsid w:val="000D24DE"/>
    <w:rsid w:val="000D258D"/>
    <w:rsid w:val="000D297D"/>
    <w:rsid w:val="000D2AD7"/>
    <w:rsid w:val="000D2E5F"/>
    <w:rsid w:val="000D32F7"/>
    <w:rsid w:val="000D3341"/>
    <w:rsid w:val="000D3C30"/>
    <w:rsid w:val="000D567C"/>
    <w:rsid w:val="000D5DDD"/>
    <w:rsid w:val="000D5E89"/>
    <w:rsid w:val="000D78D9"/>
    <w:rsid w:val="000D79D0"/>
    <w:rsid w:val="000D7D47"/>
    <w:rsid w:val="000D7EE2"/>
    <w:rsid w:val="000E0934"/>
    <w:rsid w:val="000E0DA9"/>
    <w:rsid w:val="000E1D9C"/>
    <w:rsid w:val="000E2480"/>
    <w:rsid w:val="000E36E4"/>
    <w:rsid w:val="000E3762"/>
    <w:rsid w:val="000E37E9"/>
    <w:rsid w:val="000E3F47"/>
    <w:rsid w:val="000E4583"/>
    <w:rsid w:val="000E56F0"/>
    <w:rsid w:val="000E5895"/>
    <w:rsid w:val="000E58C9"/>
    <w:rsid w:val="000E6B16"/>
    <w:rsid w:val="000E6BC2"/>
    <w:rsid w:val="000E6C13"/>
    <w:rsid w:val="000E7771"/>
    <w:rsid w:val="000E9C3A"/>
    <w:rsid w:val="000F06BA"/>
    <w:rsid w:val="000F0BE8"/>
    <w:rsid w:val="000F0DEE"/>
    <w:rsid w:val="000F1231"/>
    <w:rsid w:val="000F164A"/>
    <w:rsid w:val="000F1C53"/>
    <w:rsid w:val="000F1F85"/>
    <w:rsid w:val="000F208D"/>
    <w:rsid w:val="000F2616"/>
    <w:rsid w:val="000F27E3"/>
    <w:rsid w:val="000F2AA7"/>
    <w:rsid w:val="000F2B55"/>
    <w:rsid w:val="000F2FC3"/>
    <w:rsid w:val="000F32F8"/>
    <w:rsid w:val="000F3667"/>
    <w:rsid w:val="000F3DF6"/>
    <w:rsid w:val="000F461D"/>
    <w:rsid w:val="000F4791"/>
    <w:rsid w:val="000F4BE7"/>
    <w:rsid w:val="000F5359"/>
    <w:rsid w:val="000F5D0C"/>
    <w:rsid w:val="000F6B08"/>
    <w:rsid w:val="000F717E"/>
    <w:rsid w:val="000F7A65"/>
    <w:rsid w:val="000F7B3F"/>
    <w:rsid w:val="001008B2"/>
    <w:rsid w:val="00101D6A"/>
    <w:rsid w:val="00101E09"/>
    <w:rsid w:val="00101F1F"/>
    <w:rsid w:val="001024C8"/>
    <w:rsid w:val="00103BE3"/>
    <w:rsid w:val="00103CE2"/>
    <w:rsid w:val="00104E6F"/>
    <w:rsid w:val="00106760"/>
    <w:rsid w:val="0010676B"/>
    <w:rsid w:val="00106AE3"/>
    <w:rsid w:val="00106C03"/>
    <w:rsid w:val="00107316"/>
    <w:rsid w:val="001076DC"/>
    <w:rsid w:val="001078EA"/>
    <w:rsid w:val="00107BEC"/>
    <w:rsid w:val="00110533"/>
    <w:rsid w:val="00111155"/>
    <w:rsid w:val="001114DA"/>
    <w:rsid w:val="00111623"/>
    <w:rsid w:val="001116D3"/>
    <w:rsid w:val="00111916"/>
    <w:rsid w:val="00112709"/>
    <w:rsid w:val="00112E79"/>
    <w:rsid w:val="001130B7"/>
    <w:rsid w:val="001131B7"/>
    <w:rsid w:val="00113324"/>
    <w:rsid w:val="00113372"/>
    <w:rsid w:val="00113E51"/>
    <w:rsid w:val="001143D2"/>
    <w:rsid w:val="00114BDB"/>
    <w:rsid w:val="00114CB5"/>
    <w:rsid w:val="00114FAE"/>
    <w:rsid w:val="00115E75"/>
    <w:rsid w:val="00116019"/>
    <w:rsid w:val="001163A1"/>
    <w:rsid w:val="001167E1"/>
    <w:rsid w:val="00116DAB"/>
    <w:rsid w:val="001175E4"/>
    <w:rsid w:val="0011781D"/>
    <w:rsid w:val="001178CF"/>
    <w:rsid w:val="00117DD4"/>
    <w:rsid w:val="00117E52"/>
    <w:rsid w:val="00117F52"/>
    <w:rsid w:val="00120117"/>
    <w:rsid w:val="00121CCA"/>
    <w:rsid w:val="00121F4F"/>
    <w:rsid w:val="00121F89"/>
    <w:rsid w:val="001221BD"/>
    <w:rsid w:val="001224C4"/>
    <w:rsid w:val="001227EF"/>
    <w:rsid w:val="00122DE4"/>
    <w:rsid w:val="00122F7C"/>
    <w:rsid w:val="001230FA"/>
    <w:rsid w:val="00123713"/>
    <w:rsid w:val="001237B2"/>
    <w:rsid w:val="00123CDA"/>
    <w:rsid w:val="00125CBD"/>
    <w:rsid w:val="00125D5C"/>
    <w:rsid w:val="00126383"/>
    <w:rsid w:val="001263B8"/>
    <w:rsid w:val="00126941"/>
    <w:rsid w:val="00127603"/>
    <w:rsid w:val="00130B44"/>
    <w:rsid w:val="00130D3B"/>
    <w:rsid w:val="0013220C"/>
    <w:rsid w:val="001325AA"/>
    <w:rsid w:val="0013277C"/>
    <w:rsid w:val="00132913"/>
    <w:rsid w:val="00132AC2"/>
    <w:rsid w:val="00135BC9"/>
    <w:rsid w:val="00136798"/>
    <w:rsid w:val="001367A0"/>
    <w:rsid w:val="00136CB0"/>
    <w:rsid w:val="00136D27"/>
    <w:rsid w:val="00137348"/>
    <w:rsid w:val="00137E39"/>
    <w:rsid w:val="001401D8"/>
    <w:rsid w:val="00140982"/>
    <w:rsid w:val="00140C80"/>
    <w:rsid w:val="0014117F"/>
    <w:rsid w:val="001415E8"/>
    <w:rsid w:val="00141E28"/>
    <w:rsid w:val="00142347"/>
    <w:rsid w:val="00142B82"/>
    <w:rsid w:val="00143125"/>
    <w:rsid w:val="00143605"/>
    <w:rsid w:val="001445F4"/>
    <w:rsid w:val="001447B8"/>
    <w:rsid w:val="00144828"/>
    <w:rsid w:val="0014553E"/>
    <w:rsid w:val="00145F51"/>
    <w:rsid w:val="00146A50"/>
    <w:rsid w:val="00146CDA"/>
    <w:rsid w:val="00146D71"/>
    <w:rsid w:val="00146D72"/>
    <w:rsid w:val="00147555"/>
    <w:rsid w:val="0014757B"/>
    <w:rsid w:val="00150DBA"/>
    <w:rsid w:val="00151791"/>
    <w:rsid w:val="00151A8F"/>
    <w:rsid w:val="0015210A"/>
    <w:rsid w:val="00152E36"/>
    <w:rsid w:val="001538EB"/>
    <w:rsid w:val="001543BF"/>
    <w:rsid w:val="001544D9"/>
    <w:rsid w:val="001546D0"/>
    <w:rsid w:val="00154804"/>
    <w:rsid w:val="001558D3"/>
    <w:rsid w:val="00156435"/>
    <w:rsid w:val="001565B9"/>
    <w:rsid w:val="0015700C"/>
    <w:rsid w:val="0015715D"/>
    <w:rsid w:val="001577BE"/>
    <w:rsid w:val="00157923"/>
    <w:rsid w:val="00157B9F"/>
    <w:rsid w:val="00157F8E"/>
    <w:rsid w:val="00160BB1"/>
    <w:rsid w:val="00160C9D"/>
    <w:rsid w:val="00160CD2"/>
    <w:rsid w:val="0016102A"/>
    <w:rsid w:val="001611C7"/>
    <w:rsid w:val="00161459"/>
    <w:rsid w:val="00161660"/>
    <w:rsid w:val="0016204C"/>
    <w:rsid w:val="001625E5"/>
    <w:rsid w:val="001634FF"/>
    <w:rsid w:val="00163514"/>
    <w:rsid w:val="0016439E"/>
    <w:rsid w:val="001644BA"/>
    <w:rsid w:val="001648DF"/>
    <w:rsid w:val="001649E4"/>
    <w:rsid w:val="00165A9D"/>
    <w:rsid w:val="00165F5C"/>
    <w:rsid w:val="00166400"/>
    <w:rsid w:val="00166789"/>
    <w:rsid w:val="00166A60"/>
    <w:rsid w:val="00167120"/>
    <w:rsid w:val="001677A9"/>
    <w:rsid w:val="00167869"/>
    <w:rsid w:val="00167E8A"/>
    <w:rsid w:val="00170B7A"/>
    <w:rsid w:val="00170D6F"/>
    <w:rsid w:val="00171F78"/>
    <w:rsid w:val="001720FC"/>
    <w:rsid w:val="00172314"/>
    <w:rsid w:val="0017250B"/>
    <w:rsid w:val="00173E71"/>
    <w:rsid w:val="0017435D"/>
    <w:rsid w:val="00174419"/>
    <w:rsid w:val="0017442D"/>
    <w:rsid w:val="00175326"/>
    <w:rsid w:val="0017532E"/>
    <w:rsid w:val="001755B6"/>
    <w:rsid w:val="00175B1B"/>
    <w:rsid w:val="00175D06"/>
    <w:rsid w:val="00175E15"/>
    <w:rsid w:val="0017708F"/>
    <w:rsid w:val="00177833"/>
    <w:rsid w:val="00177EB1"/>
    <w:rsid w:val="00180804"/>
    <w:rsid w:val="00180FF0"/>
    <w:rsid w:val="001811AC"/>
    <w:rsid w:val="001813FE"/>
    <w:rsid w:val="00181BFA"/>
    <w:rsid w:val="001828F7"/>
    <w:rsid w:val="00183310"/>
    <w:rsid w:val="0018352E"/>
    <w:rsid w:val="00183688"/>
    <w:rsid w:val="00183AE4"/>
    <w:rsid w:val="00183C4B"/>
    <w:rsid w:val="0018416F"/>
    <w:rsid w:val="001844AA"/>
    <w:rsid w:val="001844DA"/>
    <w:rsid w:val="00184563"/>
    <w:rsid w:val="0018489F"/>
    <w:rsid w:val="00184C58"/>
    <w:rsid w:val="00184E29"/>
    <w:rsid w:val="001857DF"/>
    <w:rsid w:val="00185CF9"/>
    <w:rsid w:val="0018652B"/>
    <w:rsid w:val="00186599"/>
    <w:rsid w:val="001877FF"/>
    <w:rsid w:val="00187955"/>
    <w:rsid w:val="00187DB0"/>
    <w:rsid w:val="00190566"/>
    <w:rsid w:val="001907D1"/>
    <w:rsid w:val="00190936"/>
    <w:rsid w:val="00193477"/>
    <w:rsid w:val="0019385D"/>
    <w:rsid w:val="00193A15"/>
    <w:rsid w:val="0019421E"/>
    <w:rsid w:val="00194742"/>
    <w:rsid w:val="001947AD"/>
    <w:rsid w:val="00195EB9"/>
    <w:rsid w:val="00195F7E"/>
    <w:rsid w:val="001966FB"/>
    <w:rsid w:val="00197356"/>
    <w:rsid w:val="00197564"/>
    <w:rsid w:val="00197C42"/>
    <w:rsid w:val="001A031B"/>
    <w:rsid w:val="001A0D78"/>
    <w:rsid w:val="001A1B48"/>
    <w:rsid w:val="001A2967"/>
    <w:rsid w:val="001A2A69"/>
    <w:rsid w:val="001A2A88"/>
    <w:rsid w:val="001A351A"/>
    <w:rsid w:val="001A36FB"/>
    <w:rsid w:val="001A3C1B"/>
    <w:rsid w:val="001A4884"/>
    <w:rsid w:val="001A5D05"/>
    <w:rsid w:val="001A6860"/>
    <w:rsid w:val="001A7133"/>
    <w:rsid w:val="001A78B5"/>
    <w:rsid w:val="001B08F0"/>
    <w:rsid w:val="001B105C"/>
    <w:rsid w:val="001B172D"/>
    <w:rsid w:val="001B1938"/>
    <w:rsid w:val="001B261B"/>
    <w:rsid w:val="001B30DB"/>
    <w:rsid w:val="001B33F7"/>
    <w:rsid w:val="001B38F1"/>
    <w:rsid w:val="001B3D49"/>
    <w:rsid w:val="001B63C6"/>
    <w:rsid w:val="001B6A9A"/>
    <w:rsid w:val="001B6CA4"/>
    <w:rsid w:val="001B73DD"/>
    <w:rsid w:val="001B79E6"/>
    <w:rsid w:val="001B7D49"/>
    <w:rsid w:val="001C0151"/>
    <w:rsid w:val="001C0D0F"/>
    <w:rsid w:val="001C10A8"/>
    <w:rsid w:val="001C1924"/>
    <w:rsid w:val="001C2271"/>
    <w:rsid w:val="001C26BB"/>
    <w:rsid w:val="001C26F6"/>
    <w:rsid w:val="001C2810"/>
    <w:rsid w:val="001C2966"/>
    <w:rsid w:val="001C2F10"/>
    <w:rsid w:val="001C2FCA"/>
    <w:rsid w:val="001C4105"/>
    <w:rsid w:val="001C44BD"/>
    <w:rsid w:val="001C44D2"/>
    <w:rsid w:val="001C4AF8"/>
    <w:rsid w:val="001C50E7"/>
    <w:rsid w:val="001C50F8"/>
    <w:rsid w:val="001C5613"/>
    <w:rsid w:val="001C5BBA"/>
    <w:rsid w:val="001C6844"/>
    <w:rsid w:val="001C6928"/>
    <w:rsid w:val="001C6D22"/>
    <w:rsid w:val="001C755A"/>
    <w:rsid w:val="001C7D6C"/>
    <w:rsid w:val="001D00BB"/>
    <w:rsid w:val="001D0B1E"/>
    <w:rsid w:val="001D1054"/>
    <w:rsid w:val="001D140D"/>
    <w:rsid w:val="001D146A"/>
    <w:rsid w:val="001D16D6"/>
    <w:rsid w:val="001D19F3"/>
    <w:rsid w:val="001D1CC2"/>
    <w:rsid w:val="001D1D7A"/>
    <w:rsid w:val="001D22D9"/>
    <w:rsid w:val="001D29A0"/>
    <w:rsid w:val="001D2CAD"/>
    <w:rsid w:val="001D30DA"/>
    <w:rsid w:val="001D3668"/>
    <w:rsid w:val="001D36A9"/>
    <w:rsid w:val="001D3B0E"/>
    <w:rsid w:val="001D3C85"/>
    <w:rsid w:val="001D3EE8"/>
    <w:rsid w:val="001D42E9"/>
    <w:rsid w:val="001D4934"/>
    <w:rsid w:val="001D4BF8"/>
    <w:rsid w:val="001D51B5"/>
    <w:rsid w:val="001D5A0C"/>
    <w:rsid w:val="001D6068"/>
    <w:rsid w:val="001D62A3"/>
    <w:rsid w:val="001D7275"/>
    <w:rsid w:val="001D7ED1"/>
    <w:rsid w:val="001E0A66"/>
    <w:rsid w:val="001E1388"/>
    <w:rsid w:val="001E1E9A"/>
    <w:rsid w:val="001E2757"/>
    <w:rsid w:val="001E2A3E"/>
    <w:rsid w:val="001E402E"/>
    <w:rsid w:val="001E4C8C"/>
    <w:rsid w:val="001E53DD"/>
    <w:rsid w:val="001E59E5"/>
    <w:rsid w:val="001E5B81"/>
    <w:rsid w:val="001E60ED"/>
    <w:rsid w:val="001E6137"/>
    <w:rsid w:val="001E6BD3"/>
    <w:rsid w:val="001E6D18"/>
    <w:rsid w:val="001E6E36"/>
    <w:rsid w:val="001E711D"/>
    <w:rsid w:val="001F103E"/>
    <w:rsid w:val="001F1B2F"/>
    <w:rsid w:val="001F1DAC"/>
    <w:rsid w:val="001F1E5D"/>
    <w:rsid w:val="001F1F0B"/>
    <w:rsid w:val="001F235C"/>
    <w:rsid w:val="001F26C4"/>
    <w:rsid w:val="001F2B33"/>
    <w:rsid w:val="001F3D43"/>
    <w:rsid w:val="001F44F2"/>
    <w:rsid w:val="001F6185"/>
    <w:rsid w:val="001F6947"/>
    <w:rsid w:val="001F75C0"/>
    <w:rsid w:val="001F7741"/>
    <w:rsid w:val="001F7AB3"/>
    <w:rsid w:val="00200867"/>
    <w:rsid w:val="00200BD6"/>
    <w:rsid w:val="00202023"/>
    <w:rsid w:val="00202188"/>
    <w:rsid w:val="00202BB2"/>
    <w:rsid w:val="002037E4"/>
    <w:rsid w:val="00203C86"/>
    <w:rsid w:val="00203E44"/>
    <w:rsid w:val="00204921"/>
    <w:rsid w:val="00204B2C"/>
    <w:rsid w:val="002059C6"/>
    <w:rsid w:val="00205ED3"/>
    <w:rsid w:val="0020614E"/>
    <w:rsid w:val="00206169"/>
    <w:rsid w:val="00206F4F"/>
    <w:rsid w:val="00206FD6"/>
    <w:rsid w:val="00207297"/>
    <w:rsid w:val="00210BB9"/>
    <w:rsid w:val="00210C39"/>
    <w:rsid w:val="00210CC6"/>
    <w:rsid w:val="002110C1"/>
    <w:rsid w:val="002110FD"/>
    <w:rsid w:val="002115E2"/>
    <w:rsid w:val="00211D90"/>
    <w:rsid w:val="00212AC3"/>
    <w:rsid w:val="00213347"/>
    <w:rsid w:val="002134CE"/>
    <w:rsid w:val="002134D8"/>
    <w:rsid w:val="002137EE"/>
    <w:rsid w:val="00213D8D"/>
    <w:rsid w:val="00214514"/>
    <w:rsid w:val="00214E8E"/>
    <w:rsid w:val="002156E2"/>
    <w:rsid w:val="00215C18"/>
    <w:rsid w:val="0021604A"/>
    <w:rsid w:val="0021627D"/>
    <w:rsid w:val="00216433"/>
    <w:rsid w:val="002168B2"/>
    <w:rsid w:val="00216D94"/>
    <w:rsid w:val="00216DE6"/>
    <w:rsid w:val="002170AB"/>
    <w:rsid w:val="002172A2"/>
    <w:rsid w:val="002174C3"/>
    <w:rsid w:val="002179B7"/>
    <w:rsid w:val="00217AB1"/>
    <w:rsid w:val="002202B2"/>
    <w:rsid w:val="00220487"/>
    <w:rsid w:val="00220B09"/>
    <w:rsid w:val="00221842"/>
    <w:rsid w:val="00221B0F"/>
    <w:rsid w:val="00221DAC"/>
    <w:rsid w:val="00221F60"/>
    <w:rsid w:val="00222E20"/>
    <w:rsid w:val="00222E61"/>
    <w:rsid w:val="002238C7"/>
    <w:rsid w:val="002239FF"/>
    <w:rsid w:val="002242F3"/>
    <w:rsid w:val="002245B8"/>
    <w:rsid w:val="002254D1"/>
    <w:rsid w:val="002254DC"/>
    <w:rsid w:val="002254E6"/>
    <w:rsid w:val="00225864"/>
    <w:rsid w:val="002258DB"/>
    <w:rsid w:val="00225AE6"/>
    <w:rsid w:val="00225DD5"/>
    <w:rsid w:val="002269CE"/>
    <w:rsid w:val="00226AA1"/>
    <w:rsid w:val="00226F5E"/>
    <w:rsid w:val="00227124"/>
    <w:rsid w:val="00227251"/>
    <w:rsid w:val="002277D6"/>
    <w:rsid w:val="00227DC8"/>
    <w:rsid w:val="00227F64"/>
    <w:rsid w:val="0023038D"/>
    <w:rsid w:val="00230751"/>
    <w:rsid w:val="00231174"/>
    <w:rsid w:val="00231970"/>
    <w:rsid w:val="00232A67"/>
    <w:rsid w:val="002335D4"/>
    <w:rsid w:val="00233EAA"/>
    <w:rsid w:val="00234EFF"/>
    <w:rsid w:val="00235726"/>
    <w:rsid w:val="00236809"/>
    <w:rsid w:val="0023752A"/>
    <w:rsid w:val="00237BEA"/>
    <w:rsid w:val="00237C49"/>
    <w:rsid w:val="00240553"/>
    <w:rsid w:val="00240590"/>
    <w:rsid w:val="0024070F"/>
    <w:rsid w:val="00240D92"/>
    <w:rsid w:val="0024138A"/>
    <w:rsid w:val="002423D7"/>
    <w:rsid w:val="00242C5C"/>
    <w:rsid w:val="00243053"/>
    <w:rsid w:val="00243ADC"/>
    <w:rsid w:val="00244E3D"/>
    <w:rsid w:val="00245504"/>
    <w:rsid w:val="00246324"/>
    <w:rsid w:val="0024665F"/>
    <w:rsid w:val="00246788"/>
    <w:rsid w:val="00246847"/>
    <w:rsid w:val="00246BD5"/>
    <w:rsid w:val="00246F38"/>
    <w:rsid w:val="00247ADF"/>
    <w:rsid w:val="00247CE5"/>
    <w:rsid w:val="00250D72"/>
    <w:rsid w:val="00251B2B"/>
    <w:rsid w:val="00251C82"/>
    <w:rsid w:val="00253C93"/>
    <w:rsid w:val="00253D28"/>
    <w:rsid w:val="00253DBF"/>
    <w:rsid w:val="00254D79"/>
    <w:rsid w:val="0025522C"/>
    <w:rsid w:val="00255367"/>
    <w:rsid w:val="00256D39"/>
    <w:rsid w:val="00256E81"/>
    <w:rsid w:val="0025724F"/>
    <w:rsid w:val="002620AC"/>
    <w:rsid w:val="00262CCA"/>
    <w:rsid w:val="00263279"/>
    <w:rsid w:val="0026374E"/>
    <w:rsid w:val="00263B52"/>
    <w:rsid w:val="00264C77"/>
    <w:rsid w:val="00264E72"/>
    <w:rsid w:val="0026523A"/>
    <w:rsid w:val="00265260"/>
    <w:rsid w:val="0026549C"/>
    <w:rsid w:val="002658E5"/>
    <w:rsid w:val="00265A0E"/>
    <w:rsid w:val="002666FA"/>
    <w:rsid w:val="00266723"/>
    <w:rsid w:val="00266B86"/>
    <w:rsid w:val="00266EFC"/>
    <w:rsid w:val="00267C0D"/>
    <w:rsid w:val="0027065D"/>
    <w:rsid w:val="00271623"/>
    <w:rsid w:val="00271BAD"/>
    <w:rsid w:val="00272056"/>
    <w:rsid w:val="002720D7"/>
    <w:rsid w:val="0027356D"/>
    <w:rsid w:val="00273D06"/>
    <w:rsid w:val="00273E32"/>
    <w:rsid w:val="00275D7F"/>
    <w:rsid w:val="002766C2"/>
    <w:rsid w:val="002774C8"/>
    <w:rsid w:val="00277AFF"/>
    <w:rsid w:val="002808B8"/>
    <w:rsid w:val="00280A57"/>
    <w:rsid w:val="00280C7F"/>
    <w:rsid w:val="00281CBE"/>
    <w:rsid w:val="0028212D"/>
    <w:rsid w:val="0028220D"/>
    <w:rsid w:val="002822CB"/>
    <w:rsid w:val="00282316"/>
    <w:rsid w:val="0028269C"/>
    <w:rsid w:val="00282711"/>
    <w:rsid w:val="00283FFE"/>
    <w:rsid w:val="002840EF"/>
    <w:rsid w:val="00284837"/>
    <w:rsid w:val="0028556D"/>
    <w:rsid w:val="00285D54"/>
    <w:rsid w:val="00286897"/>
    <w:rsid w:val="00286D70"/>
    <w:rsid w:val="00287602"/>
    <w:rsid w:val="0029042B"/>
    <w:rsid w:val="00291931"/>
    <w:rsid w:val="00291E38"/>
    <w:rsid w:val="00292887"/>
    <w:rsid w:val="00292F96"/>
    <w:rsid w:val="00293293"/>
    <w:rsid w:val="00293D99"/>
    <w:rsid w:val="002941E6"/>
    <w:rsid w:val="002949F9"/>
    <w:rsid w:val="00294B6D"/>
    <w:rsid w:val="00295363"/>
    <w:rsid w:val="0029622D"/>
    <w:rsid w:val="00296AF1"/>
    <w:rsid w:val="00296D73"/>
    <w:rsid w:val="0029E011"/>
    <w:rsid w:val="002A03D4"/>
    <w:rsid w:val="002A0443"/>
    <w:rsid w:val="002A04D9"/>
    <w:rsid w:val="002A06FA"/>
    <w:rsid w:val="002A0E3B"/>
    <w:rsid w:val="002A155E"/>
    <w:rsid w:val="002A16E6"/>
    <w:rsid w:val="002A18BB"/>
    <w:rsid w:val="002A25A0"/>
    <w:rsid w:val="002A2F51"/>
    <w:rsid w:val="002A3408"/>
    <w:rsid w:val="002A343E"/>
    <w:rsid w:val="002A3C0D"/>
    <w:rsid w:val="002A404D"/>
    <w:rsid w:val="002A42D0"/>
    <w:rsid w:val="002A45D9"/>
    <w:rsid w:val="002A49A5"/>
    <w:rsid w:val="002A4FAA"/>
    <w:rsid w:val="002A5222"/>
    <w:rsid w:val="002A5716"/>
    <w:rsid w:val="002A666C"/>
    <w:rsid w:val="002A6893"/>
    <w:rsid w:val="002B09F3"/>
    <w:rsid w:val="002B14A4"/>
    <w:rsid w:val="002B1FBD"/>
    <w:rsid w:val="002B250A"/>
    <w:rsid w:val="002B2DA7"/>
    <w:rsid w:val="002B4FC1"/>
    <w:rsid w:val="002B5A8B"/>
    <w:rsid w:val="002B691E"/>
    <w:rsid w:val="002B6ACF"/>
    <w:rsid w:val="002B6D0C"/>
    <w:rsid w:val="002B6E14"/>
    <w:rsid w:val="002B72B2"/>
    <w:rsid w:val="002B7958"/>
    <w:rsid w:val="002B7DF3"/>
    <w:rsid w:val="002B7EE9"/>
    <w:rsid w:val="002C0437"/>
    <w:rsid w:val="002C0868"/>
    <w:rsid w:val="002C0AE8"/>
    <w:rsid w:val="002C0B0D"/>
    <w:rsid w:val="002C0F37"/>
    <w:rsid w:val="002C1519"/>
    <w:rsid w:val="002C16F9"/>
    <w:rsid w:val="002C20B6"/>
    <w:rsid w:val="002C2D2A"/>
    <w:rsid w:val="002C34FD"/>
    <w:rsid w:val="002C3ADF"/>
    <w:rsid w:val="002C3E25"/>
    <w:rsid w:val="002C3F9C"/>
    <w:rsid w:val="002C414C"/>
    <w:rsid w:val="002C4212"/>
    <w:rsid w:val="002C4544"/>
    <w:rsid w:val="002C47E7"/>
    <w:rsid w:val="002C5021"/>
    <w:rsid w:val="002C50E1"/>
    <w:rsid w:val="002C5118"/>
    <w:rsid w:val="002C6C0F"/>
    <w:rsid w:val="002C7034"/>
    <w:rsid w:val="002C76B9"/>
    <w:rsid w:val="002C7DE2"/>
    <w:rsid w:val="002D0479"/>
    <w:rsid w:val="002D0AA1"/>
    <w:rsid w:val="002D0D83"/>
    <w:rsid w:val="002D13C0"/>
    <w:rsid w:val="002D1EDC"/>
    <w:rsid w:val="002D22EC"/>
    <w:rsid w:val="002D244F"/>
    <w:rsid w:val="002D29E7"/>
    <w:rsid w:val="002D2AA1"/>
    <w:rsid w:val="002D35F7"/>
    <w:rsid w:val="002D36F3"/>
    <w:rsid w:val="002D3F0F"/>
    <w:rsid w:val="002D4410"/>
    <w:rsid w:val="002D55A9"/>
    <w:rsid w:val="002D56CA"/>
    <w:rsid w:val="002D63AD"/>
    <w:rsid w:val="002D63C5"/>
    <w:rsid w:val="002D6420"/>
    <w:rsid w:val="002D66F5"/>
    <w:rsid w:val="002D76D7"/>
    <w:rsid w:val="002D7B7A"/>
    <w:rsid w:val="002E07BE"/>
    <w:rsid w:val="002E0A5B"/>
    <w:rsid w:val="002E103F"/>
    <w:rsid w:val="002E17DF"/>
    <w:rsid w:val="002E1D0A"/>
    <w:rsid w:val="002E1E4E"/>
    <w:rsid w:val="002E2D34"/>
    <w:rsid w:val="002E2F78"/>
    <w:rsid w:val="002E3491"/>
    <w:rsid w:val="002E381B"/>
    <w:rsid w:val="002E447F"/>
    <w:rsid w:val="002E52AE"/>
    <w:rsid w:val="002E52DE"/>
    <w:rsid w:val="002E5995"/>
    <w:rsid w:val="002E5FDD"/>
    <w:rsid w:val="002E6FFF"/>
    <w:rsid w:val="002E7471"/>
    <w:rsid w:val="002E75E1"/>
    <w:rsid w:val="002F0CE2"/>
    <w:rsid w:val="002F0DE8"/>
    <w:rsid w:val="002F1327"/>
    <w:rsid w:val="002F14C1"/>
    <w:rsid w:val="002F1F7C"/>
    <w:rsid w:val="002F2694"/>
    <w:rsid w:val="002F2F27"/>
    <w:rsid w:val="002F37BD"/>
    <w:rsid w:val="002F4120"/>
    <w:rsid w:val="002F4239"/>
    <w:rsid w:val="002F52FA"/>
    <w:rsid w:val="002F53E4"/>
    <w:rsid w:val="002F5837"/>
    <w:rsid w:val="002F616E"/>
    <w:rsid w:val="002F6244"/>
    <w:rsid w:val="002F624C"/>
    <w:rsid w:val="002F68E6"/>
    <w:rsid w:val="002F69A9"/>
    <w:rsid w:val="002F6CF5"/>
    <w:rsid w:val="002F6EFC"/>
    <w:rsid w:val="002F77E1"/>
    <w:rsid w:val="002F7B32"/>
    <w:rsid w:val="00300108"/>
    <w:rsid w:val="0030042B"/>
    <w:rsid w:val="0030128F"/>
    <w:rsid w:val="003012AC"/>
    <w:rsid w:val="00301409"/>
    <w:rsid w:val="003020F1"/>
    <w:rsid w:val="003029C8"/>
    <w:rsid w:val="0030340C"/>
    <w:rsid w:val="003035E8"/>
    <w:rsid w:val="003043F6"/>
    <w:rsid w:val="00304416"/>
    <w:rsid w:val="00304DD8"/>
    <w:rsid w:val="0030502B"/>
    <w:rsid w:val="003052C9"/>
    <w:rsid w:val="00305A43"/>
    <w:rsid w:val="00305EF2"/>
    <w:rsid w:val="0030640D"/>
    <w:rsid w:val="003069C7"/>
    <w:rsid w:val="00306C9A"/>
    <w:rsid w:val="00306F30"/>
    <w:rsid w:val="00307077"/>
    <w:rsid w:val="00307142"/>
    <w:rsid w:val="0030751D"/>
    <w:rsid w:val="0030791D"/>
    <w:rsid w:val="00307D7A"/>
    <w:rsid w:val="00307F17"/>
    <w:rsid w:val="00310044"/>
    <w:rsid w:val="00310560"/>
    <w:rsid w:val="00312522"/>
    <w:rsid w:val="00313590"/>
    <w:rsid w:val="00313691"/>
    <w:rsid w:val="003147AA"/>
    <w:rsid w:val="0031487F"/>
    <w:rsid w:val="0031491E"/>
    <w:rsid w:val="0031499E"/>
    <w:rsid w:val="00314E13"/>
    <w:rsid w:val="00315704"/>
    <w:rsid w:val="00315EBE"/>
    <w:rsid w:val="00316531"/>
    <w:rsid w:val="0031685F"/>
    <w:rsid w:val="00316AA1"/>
    <w:rsid w:val="00317582"/>
    <w:rsid w:val="003178C0"/>
    <w:rsid w:val="00317FE6"/>
    <w:rsid w:val="0032048B"/>
    <w:rsid w:val="00320560"/>
    <w:rsid w:val="00321189"/>
    <w:rsid w:val="003212CD"/>
    <w:rsid w:val="00322B5C"/>
    <w:rsid w:val="003238E3"/>
    <w:rsid w:val="00323D2A"/>
    <w:rsid w:val="003241E2"/>
    <w:rsid w:val="003244F8"/>
    <w:rsid w:val="0032498D"/>
    <w:rsid w:val="00324D17"/>
    <w:rsid w:val="00325C1D"/>
    <w:rsid w:val="00325CA8"/>
    <w:rsid w:val="00326076"/>
    <w:rsid w:val="003275F3"/>
    <w:rsid w:val="003279D6"/>
    <w:rsid w:val="00327AA1"/>
    <w:rsid w:val="00330145"/>
    <w:rsid w:val="00331BFF"/>
    <w:rsid w:val="00331C9E"/>
    <w:rsid w:val="00331EDF"/>
    <w:rsid w:val="00331EE4"/>
    <w:rsid w:val="0033221B"/>
    <w:rsid w:val="00332631"/>
    <w:rsid w:val="00333328"/>
    <w:rsid w:val="003334E7"/>
    <w:rsid w:val="00333EB2"/>
    <w:rsid w:val="003347EC"/>
    <w:rsid w:val="00334A9F"/>
    <w:rsid w:val="003353C0"/>
    <w:rsid w:val="003355AB"/>
    <w:rsid w:val="00335C1B"/>
    <w:rsid w:val="00336ED2"/>
    <w:rsid w:val="00337526"/>
    <w:rsid w:val="00337C9D"/>
    <w:rsid w:val="00340106"/>
    <w:rsid w:val="003409A0"/>
    <w:rsid w:val="00340BE2"/>
    <w:rsid w:val="00340CDC"/>
    <w:rsid w:val="00341C0A"/>
    <w:rsid w:val="00341D52"/>
    <w:rsid w:val="00341F47"/>
    <w:rsid w:val="003422D1"/>
    <w:rsid w:val="003428C6"/>
    <w:rsid w:val="003429AA"/>
    <w:rsid w:val="00342B53"/>
    <w:rsid w:val="00343037"/>
    <w:rsid w:val="0034362E"/>
    <w:rsid w:val="003443D2"/>
    <w:rsid w:val="00344D6B"/>
    <w:rsid w:val="00344E6E"/>
    <w:rsid w:val="003453CC"/>
    <w:rsid w:val="00345617"/>
    <w:rsid w:val="00345C43"/>
    <w:rsid w:val="00346C0D"/>
    <w:rsid w:val="00346E94"/>
    <w:rsid w:val="00347C82"/>
    <w:rsid w:val="003502D5"/>
    <w:rsid w:val="003504FC"/>
    <w:rsid w:val="0035056D"/>
    <w:rsid w:val="0035163C"/>
    <w:rsid w:val="00351A4A"/>
    <w:rsid w:val="00351AEE"/>
    <w:rsid w:val="00351C10"/>
    <w:rsid w:val="00353FF8"/>
    <w:rsid w:val="003552D1"/>
    <w:rsid w:val="0035598E"/>
    <w:rsid w:val="00355D56"/>
    <w:rsid w:val="00356073"/>
    <w:rsid w:val="00356093"/>
    <w:rsid w:val="003566DB"/>
    <w:rsid w:val="00356C5E"/>
    <w:rsid w:val="00356CB1"/>
    <w:rsid w:val="00357960"/>
    <w:rsid w:val="003579B3"/>
    <w:rsid w:val="00357F3B"/>
    <w:rsid w:val="00360243"/>
    <w:rsid w:val="003619B7"/>
    <w:rsid w:val="00362486"/>
    <w:rsid w:val="00362DAD"/>
    <w:rsid w:val="003632F1"/>
    <w:rsid w:val="0036376D"/>
    <w:rsid w:val="00363B67"/>
    <w:rsid w:val="00363D30"/>
    <w:rsid w:val="0036443D"/>
    <w:rsid w:val="00364811"/>
    <w:rsid w:val="0036485C"/>
    <w:rsid w:val="003649A2"/>
    <w:rsid w:val="003649F2"/>
    <w:rsid w:val="00364E6C"/>
    <w:rsid w:val="003650A9"/>
    <w:rsid w:val="003653EC"/>
    <w:rsid w:val="00365E42"/>
    <w:rsid w:val="003661F4"/>
    <w:rsid w:val="00366B7B"/>
    <w:rsid w:val="00366EB7"/>
    <w:rsid w:val="003677F1"/>
    <w:rsid w:val="00367D7A"/>
    <w:rsid w:val="0037094C"/>
    <w:rsid w:val="0037123C"/>
    <w:rsid w:val="00371989"/>
    <w:rsid w:val="003719E8"/>
    <w:rsid w:val="00371AAF"/>
    <w:rsid w:val="003721C2"/>
    <w:rsid w:val="00372209"/>
    <w:rsid w:val="003724C5"/>
    <w:rsid w:val="00372822"/>
    <w:rsid w:val="00373115"/>
    <w:rsid w:val="00373DE1"/>
    <w:rsid w:val="00374711"/>
    <w:rsid w:val="00374BAD"/>
    <w:rsid w:val="00374CF5"/>
    <w:rsid w:val="00374D83"/>
    <w:rsid w:val="00375443"/>
    <w:rsid w:val="0037555F"/>
    <w:rsid w:val="0037569E"/>
    <w:rsid w:val="00376573"/>
    <w:rsid w:val="00376A78"/>
    <w:rsid w:val="003771CA"/>
    <w:rsid w:val="003778C2"/>
    <w:rsid w:val="00377D88"/>
    <w:rsid w:val="00380007"/>
    <w:rsid w:val="00380623"/>
    <w:rsid w:val="0038171C"/>
    <w:rsid w:val="00381DED"/>
    <w:rsid w:val="00382A2C"/>
    <w:rsid w:val="00382B4E"/>
    <w:rsid w:val="00383271"/>
    <w:rsid w:val="0038429C"/>
    <w:rsid w:val="0038464D"/>
    <w:rsid w:val="0038513C"/>
    <w:rsid w:val="0038598D"/>
    <w:rsid w:val="00386197"/>
    <w:rsid w:val="0038712C"/>
    <w:rsid w:val="003875B9"/>
    <w:rsid w:val="003878B8"/>
    <w:rsid w:val="003879CA"/>
    <w:rsid w:val="00387A45"/>
    <w:rsid w:val="0039083A"/>
    <w:rsid w:val="00390CBE"/>
    <w:rsid w:val="00392131"/>
    <w:rsid w:val="00392B40"/>
    <w:rsid w:val="00393126"/>
    <w:rsid w:val="00393243"/>
    <w:rsid w:val="003933B0"/>
    <w:rsid w:val="0039385A"/>
    <w:rsid w:val="00393B2E"/>
    <w:rsid w:val="00394D22"/>
    <w:rsid w:val="00394ED9"/>
    <w:rsid w:val="003951F1"/>
    <w:rsid w:val="003957D3"/>
    <w:rsid w:val="003957F9"/>
    <w:rsid w:val="00396CBA"/>
    <w:rsid w:val="00396FDB"/>
    <w:rsid w:val="00397D41"/>
    <w:rsid w:val="003A00CD"/>
    <w:rsid w:val="003A0397"/>
    <w:rsid w:val="003A0553"/>
    <w:rsid w:val="003A184A"/>
    <w:rsid w:val="003A1F05"/>
    <w:rsid w:val="003A1FEE"/>
    <w:rsid w:val="003A2245"/>
    <w:rsid w:val="003A25F9"/>
    <w:rsid w:val="003A3BE1"/>
    <w:rsid w:val="003A4140"/>
    <w:rsid w:val="003A5159"/>
    <w:rsid w:val="003A532A"/>
    <w:rsid w:val="003A5665"/>
    <w:rsid w:val="003A5EFA"/>
    <w:rsid w:val="003A63EC"/>
    <w:rsid w:val="003A6A26"/>
    <w:rsid w:val="003A6F0D"/>
    <w:rsid w:val="003A76AD"/>
    <w:rsid w:val="003B0124"/>
    <w:rsid w:val="003B1501"/>
    <w:rsid w:val="003B1551"/>
    <w:rsid w:val="003B23B0"/>
    <w:rsid w:val="003B23FB"/>
    <w:rsid w:val="003B2EFD"/>
    <w:rsid w:val="003B30AF"/>
    <w:rsid w:val="003B375D"/>
    <w:rsid w:val="003B3A7D"/>
    <w:rsid w:val="003B3B1C"/>
    <w:rsid w:val="003B4445"/>
    <w:rsid w:val="003B6C1E"/>
    <w:rsid w:val="003B6F8F"/>
    <w:rsid w:val="003B741D"/>
    <w:rsid w:val="003B7A30"/>
    <w:rsid w:val="003B7C69"/>
    <w:rsid w:val="003BB517"/>
    <w:rsid w:val="003C00EB"/>
    <w:rsid w:val="003C0254"/>
    <w:rsid w:val="003C16AB"/>
    <w:rsid w:val="003C1A10"/>
    <w:rsid w:val="003C205C"/>
    <w:rsid w:val="003C377B"/>
    <w:rsid w:val="003C377F"/>
    <w:rsid w:val="003C39FD"/>
    <w:rsid w:val="003C3B39"/>
    <w:rsid w:val="003C4C52"/>
    <w:rsid w:val="003C4D69"/>
    <w:rsid w:val="003C5384"/>
    <w:rsid w:val="003C59A1"/>
    <w:rsid w:val="003C6172"/>
    <w:rsid w:val="003C6358"/>
    <w:rsid w:val="003C67FC"/>
    <w:rsid w:val="003C78DF"/>
    <w:rsid w:val="003C7B10"/>
    <w:rsid w:val="003C7D8A"/>
    <w:rsid w:val="003D016C"/>
    <w:rsid w:val="003D01DE"/>
    <w:rsid w:val="003D1E81"/>
    <w:rsid w:val="003D1F5F"/>
    <w:rsid w:val="003D2A5B"/>
    <w:rsid w:val="003D3141"/>
    <w:rsid w:val="003D3845"/>
    <w:rsid w:val="003D3AB7"/>
    <w:rsid w:val="003D3C4B"/>
    <w:rsid w:val="003D4049"/>
    <w:rsid w:val="003D4401"/>
    <w:rsid w:val="003D49F2"/>
    <w:rsid w:val="003D4D36"/>
    <w:rsid w:val="003D4E90"/>
    <w:rsid w:val="003D5947"/>
    <w:rsid w:val="003D5CA0"/>
    <w:rsid w:val="003D5E8A"/>
    <w:rsid w:val="003D6543"/>
    <w:rsid w:val="003D671D"/>
    <w:rsid w:val="003D71CF"/>
    <w:rsid w:val="003D7BA3"/>
    <w:rsid w:val="003E11D1"/>
    <w:rsid w:val="003E13CF"/>
    <w:rsid w:val="003E2887"/>
    <w:rsid w:val="003E2A78"/>
    <w:rsid w:val="003E2F23"/>
    <w:rsid w:val="003E3EC1"/>
    <w:rsid w:val="003E431C"/>
    <w:rsid w:val="003E5897"/>
    <w:rsid w:val="003E5C04"/>
    <w:rsid w:val="003E5ED6"/>
    <w:rsid w:val="003E62DA"/>
    <w:rsid w:val="003E64E2"/>
    <w:rsid w:val="003F0B90"/>
    <w:rsid w:val="003F0EC7"/>
    <w:rsid w:val="003F18F5"/>
    <w:rsid w:val="003F2D02"/>
    <w:rsid w:val="003F32FE"/>
    <w:rsid w:val="003F4D34"/>
    <w:rsid w:val="003F4F1B"/>
    <w:rsid w:val="003F5405"/>
    <w:rsid w:val="003F5AA5"/>
    <w:rsid w:val="003F5B38"/>
    <w:rsid w:val="003F5C2D"/>
    <w:rsid w:val="003F5D68"/>
    <w:rsid w:val="003F5E5F"/>
    <w:rsid w:val="003F780B"/>
    <w:rsid w:val="00400023"/>
    <w:rsid w:val="0040092F"/>
    <w:rsid w:val="00400C8B"/>
    <w:rsid w:val="00401382"/>
    <w:rsid w:val="00401FCA"/>
    <w:rsid w:val="00402293"/>
    <w:rsid w:val="0040247E"/>
    <w:rsid w:val="004025F9"/>
    <w:rsid w:val="0040273F"/>
    <w:rsid w:val="00402F83"/>
    <w:rsid w:val="0040345A"/>
    <w:rsid w:val="00403B26"/>
    <w:rsid w:val="00403BBE"/>
    <w:rsid w:val="00403BED"/>
    <w:rsid w:val="00403BF1"/>
    <w:rsid w:val="00403EF5"/>
    <w:rsid w:val="00404A26"/>
    <w:rsid w:val="00404D60"/>
    <w:rsid w:val="00405414"/>
    <w:rsid w:val="00406E60"/>
    <w:rsid w:val="00407396"/>
    <w:rsid w:val="004074D4"/>
    <w:rsid w:val="00407725"/>
    <w:rsid w:val="004078EC"/>
    <w:rsid w:val="00407AF5"/>
    <w:rsid w:val="0041056C"/>
    <w:rsid w:val="0041091E"/>
    <w:rsid w:val="004117B1"/>
    <w:rsid w:val="00411E47"/>
    <w:rsid w:val="00412BB6"/>
    <w:rsid w:val="00413AC8"/>
    <w:rsid w:val="0041422D"/>
    <w:rsid w:val="004143D6"/>
    <w:rsid w:val="00414475"/>
    <w:rsid w:val="004145C5"/>
    <w:rsid w:val="00414778"/>
    <w:rsid w:val="00414CB4"/>
    <w:rsid w:val="0041504D"/>
    <w:rsid w:val="004151A5"/>
    <w:rsid w:val="004153AF"/>
    <w:rsid w:val="00416414"/>
    <w:rsid w:val="004168E1"/>
    <w:rsid w:val="00416FDE"/>
    <w:rsid w:val="00420533"/>
    <w:rsid w:val="00420A2A"/>
    <w:rsid w:val="0042132C"/>
    <w:rsid w:val="0042134C"/>
    <w:rsid w:val="00421A1C"/>
    <w:rsid w:val="004225B6"/>
    <w:rsid w:val="004228E3"/>
    <w:rsid w:val="00422C28"/>
    <w:rsid w:val="0042338C"/>
    <w:rsid w:val="00423FCD"/>
    <w:rsid w:val="004241D9"/>
    <w:rsid w:val="004242D5"/>
    <w:rsid w:val="0042457E"/>
    <w:rsid w:val="004245BB"/>
    <w:rsid w:val="00424779"/>
    <w:rsid w:val="00425AF6"/>
    <w:rsid w:val="00426725"/>
    <w:rsid w:val="00427BF8"/>
    <w:rsid w:val="00427E39"/>
    <w:rsid w:val="004309A0"/>
    <w:rsid w:val="0043208F"/>
    <w:rsid w:val="004324E1"/>
    <w:rsid w:val="004326C2"/>
    <w:rsid w:val="004326CE"/>
    <w:rsid w:val="00432A72"/>
    <w:rsid w:val="00432EFF"/>
    <w:rsid w:val="00433761"/>
    <w:rsid w:val="00433BCE"/>
    <w:rsid w:val="0043463E"/>
    <w:rsid w:val="00434778"/>
    <w:rsid w:val="00434D49"/>
    <w:rsid w:val="00434F99"/>
    <w:rsid w:val="0043570C"/>
    <w:rsid w:val="0043641F"/>
    <w:rsid w:val="00436C9D"/>
    <w:rsid w:val="00436F3C"/>
    <w:rsid w:val="00437AFD"/>
    <w:rsid w:val="0044024C"/>
    <w:rsid w:val="00440604"/>
    <w:rsid w:val="004406ED"/>
    <w:rsid w:val="00440A77"/>
    <w:rsid w:val="00440CE4"/>
    <w:rsid w:val="004415F5"/>
    <w:rsid w:val="00441AB7"/>
    <w:rsid w:val="0044231D"/>
    <w:rsid w:val="004423C0"/>
    <w:rsid w:val="00442980"/>
    <w:rsid w:val="00443BD1"/>
    <w:rsid w:val="00443C94"/>
    <w:rsid w:val="00443D85"/>
    <w:rsid w:val="00444192"/>
    <w:rsid w:val="00444858"/>
    <w:rsid w:val="00444F38"/>
    <w:rsid w:val="0044529C"/>
    <w:rsid w:val="00445957"/>
    <w:rsid w:val="004468D0"/>
    <w:rsid w:val="004469BF"/>
    <w:rsid w:val="00446C15"/>
    <w:rsid w:val="0044726C"/>
    <w:rsid w:val="004516F9"/>
    <w:rsid w:val="004519C0"/>
    <w:rsid w:val="00451CC5"/>
    <w:rsid w:val="00451D2B"/>
    <w:rsid w:val="00451DAC"/>
    <w:rsid w:val="0045205D"/>
    <w:rsid w:val="004528C0"/>
    <w:rsid w:val="0045295B"/>
    <w:rsid w:val="00452C8F"/>
    <w:rsid w:val="00453149"/>
    <w:rsid w:val="00453676"/>
    <w:rsid w:val="004536EB"/>
    <w:rsid w:val="0045460A"/>
    <w:rsid w:val="00455F00"/>
    <w:rsid w:val="00455F8B"/>
    <w:rsid w:val="00456D4A"/>
    <w:rsid w:val="004605D9"/>
    <w:rsid w:val="004615A8"/>
    <w:rsid w:val="004621F8"/>
    <w:rsid w:val="00462242"/>
    <w:rsid w:val="00462AFC"/>
    <w:rsid w:val="00462DBC"/>
    <w:rsid w:val="0046317C"/>
    <w:rsid w:val="00463C9C"/>
    <w:rsid w:val="004645AA"/>
    <w:rsid w:val="00464743"/>
    <w:rsid w:val="00464E69"/>
    <w:rsid w:val="00464E95"/>
    <w:rsid w:val="004658DC"/>
    <w:rsid w:val="00467DCF"/>
    <w:rsid w:val="00467EBA"/>
    <w:rsid w:val="0046D5AC"/>
    <w:rsid w:val="0047003A"/>
    <w:rsid w:val="004700EB"/>
    <w:rsid w:val="004705AF"/>
    <w:rsid w:val="004708F8"/>
    <w:rsid w:val="004709E5"/>
    <w:rsid w:val="00471106"/>
    <w:rsid w:val="004713B5"/>
    <w:rsid w:val="004716C7"/>
    <w:rsid w:val="00472637"/>
    <w:rsid w:val="00473557"/>
    <w:rsid w:val="004737CD"/>
    <w:rsid w:val="00473891"/>
    <w:rsid w:val="00473B7B"/>
    <w:rsid w:val="00473CD5"/>
    <w:rsid w:val="00474D55"/>
    <w:rsid w:val="004759DA"/>
    <w:rsid w:val="0047704B"/>
    <w:rsid w:val="00480343"/>
    <w:rsid w:val="00480460"/>
    <w:rsid w:val="00480B91"/>
    <w:rsid w:val="00480D47"/>
    <w:rsid w:val="0048142B"/>
    <w:rsid w:val="0048181A"/>
    <w:rsid w:val="00482DBE"/>
    <w:rsid w:val="00482FAD"/>
    <w:rsid w:val="00482FD3"/>
    <w:rsid w:val="00482FE0"/>
    <w:rsid w:val="00483483"/>
    <w:rsid w:val="00483C11"/>
    <w:rsid w:val="004846E7"/>
    <w:rsid w:val="00484A58"/>
    <w:rsid w:val="00484FDD"/>
    <w:rsid w:val="004852A2"/>
    <w:rsid w:val="004859E5"/>
    <w:rsid w:val="00485D40"/>
    <w:rsid w:val="0048624E"/>
    <w:rsid w:val="00486505"/>
    <w:rsid w:val="0048683F"/>
    <w:rsid w:val="00487456"/>
    <w:rsid w:val="00487524"/>
    <w:rsid w:val="00491500"/>
    <w:rsid w:val="00491B5A"/>
    <w:rsid w:val="004929A0"/>
    <w:rsid w:val="004929CB"/>
    <w:rsid w:val="004931EA"/>
    <w:rsid w:val="0049327A"/>
    <w:rsid w:val="004932F8"/>
    <w:rsid w:val="00493D62"/>
    <w:rsid w:val="00494FB4"/>
    <w:rsid w:val="004954BD"/>
    <w:rsid w:val="00495509"/>
    <w:rsid w:val="00496C93"/>
    <w:rsid w:val="00497379"/>
    <w:rsid w:val="00497DFB"/>
    <w:rsid w:val="00497E10"/>
    <w:rsid w:val="00497E82"/>
    <w:rsid w:val="004A0399"/>
    <w:rsid w:val="004A07E2"/>
    <w:rsid w:val="004A08A6"/>
    <w:rsid w:val="004A0CEA"/>
    <w:rsid w:val="004A0EAF"/>
    <w:rsid w:val="004A1436"/>
    <w:rsid w:val="004A1DC1"/>
    <w:rsid w:val="004A32C3"/>
    <w:rsid w:val="004A3691"/>
    <w:rsid w:val="004A36E5"/>
    <w:rsid w:val="004A4793"/>
    <w:rsid w:val="004A558E"/>
    <w:rsid w:val="004A59FC"/>
    <w:rsid w:val="004A5E0D"/>
    <w:rsid w:val="004A600E"/>
    <w:rsid w:val="004A606B"/>
    <w:rsid w:val="004B1375"/>
    <w:rsid w:val="004B1741"/>
    <w:rsid w:val="004B1C54"/>
    <w:rsid w:val="004B3913"/>
    <w:rsid w:val="004B4028"/>
    <w:rsid w:val="004B4072"/>
    <w:rsid w:val="004B46FC"/>
    <w:rsid w:val="004B47FA"/>
    <w:rsid w:val="004B48FE"/>
    <w:rsid w:val="004B4C1E"/>
    <w:rsid w:val="004B4E2F"/>
    <w:rsid w:val="004B5141"/>
    <w:rsid w:val="004B6068"/>
    <w:rsid w:val="004B607F"/>
    <w:rsid w:val="004B63A0"/>
    <w:rsid w:val="004B6575"/>
    <w:rsid w:val="004B67C2"/>
    <w:rsid w:val="004B6F7B"/>
    <w:rsid w:val="004B7292"/>
    <w:rsid w:val="004B7389"/>
    <w:rsid w:val="004B7A6D"/>
    <w:rsid w:val="004C0350"/>
    <w:rsid w:val="004C0662"/>
    <w:rsid w:val="004C0E57"/>
    <w:rsid w:val="004C107F"/>
    <w:rsid w:val="004C2064"/>
    <w:rsid w:val="004C2441"/>
    <w:rsid w:val="004C2918"/>
    <w:rsid w:val="004C2F2D"/>
    <w:rsid w:val="004C3504"/>
    <w:rsid w:val="004C39B7"/>
    <w:rsid w:val="004C4193"/>
    <w:rsid w:val="004C509F"/>
    <w:rsid w:val="004C56F1"/>
    <w:rsid w:val="004C585E"/>
    <w:rsid w:val="004C61C9"/>
    <w:rsid w:val="004C6430"/>
    <w:rsid w:val="004C6A75"/>
    <w:rsid w:val="004C6A77"/>
    <w:rsid w:val="004C6B17"/>
    <w:rsid w:val="004C71F3"/>
    <w:rsid w:val="004C741B"/>
    <w:rsid w:val="004C76F3"/>
    <w:rsid w:val="004C7E38"/>
    <w:rsid w:val="004C7FF6"/>
    <w:rsid w:val="004D031F"/>
    <w:rsid w:val="004D03A7"/>
    <w:rsid w:val="004D15B9"/>
    <w:rsid w:val="004D1DE5"/>
    <w:rsid w:val="004D29B0"/>
    <w:rsid w:val="004D31AE"/>
    <w:rsid w:val="004D33EA"/>
    <w:rsid w:val="004D37DC"/>
    <w:rsid w:val="004D3F87"/>
    <w:rsid w:val="004D483C"/>
    <w:rsid w:val="004D521B"/>
    <w:rsid w:val="004D582A"/>
    <w:rsid w:val="004D60C6"/>
    <w:rsid w:val="004D65EE"/>
    <w:rsid w:val="004D7C31"/>
    <w:rsid w:val="004D9468"/>
    <w:rsid w:val="004E0279"/>
    <w:rsid w:val="004E04B0"/>
    <w:rsid w:val="004E0AA9"/>
    <w:rsid w:val="004E0ED4"/>
    <w:rsid w:val="004E1B02"/>
    <w:rsid w:val="004E1BE0"/>
    <w:rsid w:val="004E400C"/>
    <w:rsid w:val="004E4406"/>
    <w:rsid w:val="004E463A"/>
    <w:rsid w:val="004E4C5C"/>
    <w:rsid w:val="004E550C"/>
    <w:rsid w:val="004E59BC"/>
    <w:rsid w:val="004E6103"/>
    <w:rsid w:val="004E6DD1"/>
    <w:rsid w:val="004F026E"/>
    <w:rsid w:val="004F09CE"/>
    <w:rsid w:val="004F0E1A"/>
    <w:rsid w:val="004F0F6B"/>
    <w:rsid w:val="004F1272"/>
    <w:rsid w:val="004F1CC1"/>
    <w:rsid w:val="004F1F53"/>
    <w:rsid w:val="004F26A0"/>
    <w:rsid w:val="004F2B3D"/>
    <w:rsid w:val="004F2D19"/>
    <w:rsid w:val="004F2E7F"/>
    <w:rsid w:val="004F354D"/>
    <w:rsid w:val="004F644F"/>
    <w:rsid w:val="004F6906"/>
    <w:rsid w:val="004F699C"/>
    <w:rsid w:val="004F7C54"/>
    <w:rsid w:val="004F7CFA"/>
    <w:rsid w:val="0050011A"/>
    <w:rsid w:val="005009F0"/>
    <w:rsid w:val="0050190F"/>
    <w:rsid w:val="00502479"/>
    <w:rsid w:val="0050283F"/>
    <w:rsid w:val="00502DD7"/>
    <w:rsid w:val="005034FB"/>
    <w:rsid w:val="00503C43"/>
    <w:rsid w:val="0050479D"/>
    <w:rsid w:val="00504FD7"/>
    <w:rsid w:val="005054E2"/>
    <w:rsid w:val="00505542"/>
    <w:rsid w:val="005055A3"/>
    <w:rsid w:val="00505DE4"/>
    <w:rsid w:val="00505EB8"/>
    <w:rsid w:val="00506267"/>
    <w:rsid w:val="005066D7"/>
    <w:rsid w:val="005069AA"/>
    <w:rsid w:val="00506E3B"/>
    <w:rsid w:val="00506F2D"/>
    <w:rsid w:val="0050721D"/>
    <w:rsid w:val="00507B0F"/>
    <w:rsid w:val="00507F87"/>
    <w:rsid w:val="005100E9"/>
    <w:rsid w:val="00510601"/>
    <w:rsid w:val="0051088B"/>
    <w:rsid w:val="00511E5E"/>
    <w:rsid w:val="005121C0"/>
    <w:rsid w:val="005122FC"/>
    <w:rsid w:val="00512D20"/>
    <w:rsid w:val="00513702"/>
    <w:rsid w:val="00513FBB"/>
    <w:rsid w:val="005141AD"/>
    <w:rsid w:val="0051423E"/>
    <w:rsid w:val="005145D0"/>
    <w:rsid w:val="005150F1"/>
    <w:rsid w:val="0051640A"/>
    <w:rsid w:val="00516A84"/>
    <w:rsid w:val="0051749C"/>
    <w:rsid w:val="00517A5F"/>
    <w:rsid w:val="0052075C"/>
    <w:rsid w:val="005209D6"/>
    <w:rsid w:val="005210E4"/>
    <w:rsid w:val="00522146"/>
    <w:rsid w:val="00522CFC"/>
    <w:rsid w:val="0052312A"/>
    <w:rsid w:val="005232B1"/>
    <w:rsid w:val="0052425E"/>
    <w:rsid w:val="00525274"/>
    <w:rsid w:val="0052586E"/>
    <w:rsid w:val="00525F84"/>
    <w:rsid w:val="005261BF"/>
    <w:rsid w:val="005305E2"/>
    <w:rsid w:val="0053071E"/>
    <w:rsid w:val="00530823"/>
    <w:rsid w:val="0053087B"/>
    <w:rsid w:val="005309C8"/>
    <w:rsid w:val="00531773"/>
    <w:rsid w:val="00531DFE"/>
    <w:rsid w:val="0053239E"/>
    <w:rsid w:val="00532FAE"/>
    <w:rsid w:val="0053369A"/>
    <w:rsid w:val="00534393"/>
    <w:rsid w:val="00535A6B"/>
    <w:rsid w:val="00535D63"/>
    <w:rsid w:val="005366B7"/>
    <w:rsid w:val="00536DBF"/>
    <w:rsid w:val="00537A08"/>
    <w:rsid w:val="00537F48"/>
    <w:rsid w:val="0054061D"/>
    <w:rsid w:val="00540655"/>
    <w:rsid w:val="00540A57"/>
    <w:rsid w:val="0054148B"/>
    <w:rsid w:val="00542089"/>
    <w:rsid w:val="00542328"/>
    <w:rsid w:val="00542350"/>
    <w:rsid w:val="005430A7"/>
    <w:rsid w:val="005430EA"/>
    <w:rsid w:val="00544342"/>
    <w:rsid w:val="00544FCE"/>
    <w:rsid w:val="00545751"/>
    <w:rsid w:val="00545ADD"/>
    <w:rsid w:val="00545B73"/>
    <w:rsid w:val="0054676F"/>
    <w:rsid w:val="00546DF9"/>
    <w:rsid w:val="0054718B"/>
    <w:rsid w:val="00547716"/>
    <w:rsid w:val="0055062F"/>
    <w:rsid w:val="0055085D"/>
    <w:rsid w:val="005511D4"/>
    <w:rsid w:val="00551CE1"/>
    <w:rsid w:val="00553AA4"/>
    <w:rsid w:val="00554207"/>
    <w:rsid w:val="00554720"/>
    <w:rsid w:val="0055486D"/>
    <w:rsid w:val="00555474"/>
    <w:rsid w:val="005559E9"/>
    <w:rsid w:val="00555B71"/>
    <w:rsid w:val="00555BDB"/>
    <w:rsid w:val="00555D2D"/>
    <w:rsid w:val="005563C6"/>
    <w:rsid w:val="005576B7"/>
    <w:rsid w:val="00557D32"/>
    <w:rsid w:val="00560E5A"/>
    <w:rsid w:val="00562464"/>
    <w:rsid w:val="00562697"/>
    <w:rsid w:val="0056295B"/>
    <w:rsid w:val="00562FE4"/>
    <w:rsid w:val="00563195"/>
    <w:rsid w:val="005633F6"/>
    <w:rsid w:val="00563DEC"/>
    <w:rsid w:val="00563FAA"/>
    <w:rsid w:val="0056427C"/>
    <w:rsid w:val="00565834"/>
    <w:rsid w:val="005658D7"/>
    <w:rsid w:val="00565C94"/>
    <w:rsid w:val="005668F8"/>
    <w:rsid w:val="00566BE7"/>
    <w:rsid w:val="00567032"/>
    <w:rsid w:val="00567386"/>
    <w:rsid w:val="0056774C"/>
    <w:rsid w:val="00567FDB"/>
    <w:rsid w:val="00570841"/>
    <w:rsid w:val="00570BDB"/>
    <w:rsid w:val="00570E67"/>
    <w:rsid w:val="00571770"/>
    <w:rsid w:val="0057182A"/>
    <w:rsid w:val="0057210F"/>
    <w:rsid w:val="00572371"/>
    <w:rsid w:val="00572733"/>
    <w:rsid w:val="00572BD0"/>
    <w:rsid w:val="00573E90"/>
    <w:rsid w:val="00573EC8"/>
    <w:rsid w:val="005748E4"/>
    <w:rsid w:val="00574EB5"/>
    <w:rsid w:val="0057526E"/>
    <w:rsid w:val="00576043"/>
    <w:rsid w:val="005762BD"/>
    <w:rsid w:val="00577874"/>
    <w:rsid w:val="00577974"/>
    <w:rsid w:val="00577EF5"/>
    <w:rsid w:val="00577F5C"/>
    <w:rsid w:val="00580404"/>
    <w:rsid w:val="00580C30"/>
    <w:rsid w:val="00580CF8"/>
    <w:rsid w:val="00580FEF"/>
    <w:rsid w:val="00581704"/>
    <w:rsid w:val="005817C3"/>
    <w:rsid w:val="00581955"/>
    <w:rsid w:val="00581D3B"/>
    <w:rsid w:val="00582017"/>
    <w:rsid w:val="00582A9B"/>
    <w:rsid w:val="005830FC"/>
    <w:rsid w:val="00583803"/>
    <w:rsid w:val="00583897"/>
    <w:rsid w:val="005838F7"/>
    <w:rsid w:val="00583D2C"/>
    <w:rsid w:val="00584423"/>
    <w:rsid w:val="00585343"/>
    <w:rsid w:val="0058537F"/>
    <w:rsid w:val="0058608A"/>
    <w:rsid w:val="00586885"/>
    <w:rsid w:val="005869FD"/>
    <w:rsid w:val="00586DC2"/>
    <w:rsid w:val="00587957"/>
    <w:rsid w:val="005879F3"/>
    <w:rsid w:val="00587BE9"/>
    <w:rsid w:val="00590130"/>
    <w:rsid w:val="0059087A"/>
    <w:rsid w:val="00590962"/>
    <w:rsid w:val="00590975"/>
    <w:rsid w:val="005910BC"/>
    <w:rsid w:val="00591139"/>
    <w:rsid w:val="0059139B"/>
    <w:rsid w:val="0059323F"/>
    <w:rsid w:val="00593739"/>
    <w:rsid w:val="00593DB2"/>
    <w:rsid w:val="00593DDE"/>
    <w:rsid w:val="005948CB"/>
    <w:rsid w:val="005958D8"/>
    <w:rsid w:val="00595940"/>
    <w:rsid w:val="005962F5"/>
    <w:rsid w:val="005969C0"/>
    <w:rsid w:val="00596E42"/>
    <w:rsid w:val="00597163"/>
    <w:rsid w:val="005976BA"/>
    <w:rsid w:val="00597F5F"/>
    <w:rsid w:val="005A0355"/>
    <w:rsid w:val="005A1159"/>
    <w:rsid w:val="005A195E"/>
    <w:rsid w:val="005A28EE"/>
    <w:rsid w:val="005A2EAF"/>
    <w:rsid w:val="005A3CE3"/>
    <w:rsid w:val="005A3CFF"/>
    <w:rsid w:val="005A47F4"/>
    <w:rsid w:val="005A4908"/>
    <w:rsid w:val="005A53D9"/>
    <w:rsid w:val="005A5891"/>
    <w:rsid w:val="005A5A68"/>
    <w:rsid w:val="005A5C4B"/>
    <w:rsid w:val="005A6C28"/>
    <w:rsid w:val="005A6F6F"/>
    <w:rsid w:val="005A71AD"/>
    <w:rsid w:val="005A7580"/>
    <w:rsid w:val="005A7CBE"/>
    <w:rsid w:val="005B0B92"/>
    <w:rsid w:val="005B0DDB"/>
    <w:rsid w:val="005B186F"/>
    <w:rsid w:val="005B2546"/>
    <w:rsid w:val="005B2776"/>
    <w:rsid w:val="005B2EB8"/>
    <w:rsid w:val="005B3418"/>
    <w:rsid w:val="005B34FD"/>
    <w:rsid w:val="005B3FF0"/>
    <w:rsid w:val="005B4469"/>
    <w:rsid w:val="005B4661"/>
    <w:rsid w:val="005B4B52"/>
    <w:rsid w:val="005B4C6E"/>
    <w:rsid w:val="005B4E7D"/>
    <w:rsid w:val="005B52E0"/>
    <w:rsid w:val="005B57D0"/>
    <w:rsid w:val="005B5DB0"/>
    <w:rsid w:val="005B5FE5"/>
    <w:rsid w:val="005B722D"/>
    <w:rsid w:val="005B7393"/>
    <w:rsid w:val="005B7480"/>
    <w:rsid w:val="005B7EC7"/>
    <w:rsid w:val="005BA075"/>
    <w:rsid w:val="005C1A6E"/>
    <w:rsid w:val="005C1FC0"/>
    <w:rsid w:val="005C2159"/>
    <w:rsid w:val="005C3D4C"/>
    <w:rsid w:val="005C5297"/>
    <w:rsid w:val="005C6428"/>
    <w:rsid w:val="005C66AE"/>
    <w:rsid w:val="005C6D2A"/>
    <w:rsid w:val="005C727A"/>
    <w:rsid w:val="005C7421"/>
    <w:rsid w:val="005C7D9E"/>
    <w:rsid w:val="005D06F1"/>
    <w:rsid w:val="005D0807"/>
    <w:rsid w:val="005D1A4F"/>
    <w:rsid w:val="005D1C8C"/>
    <w:rsid w:val="005D1FD3"/>
    <w:rsid w:val="005D221A"/>
    <w:rsid w:val="005D380D"/>
    <w:rsid w:val="005D4E72"/>
    <w:rsid w:val="005D4EC6"/>
    <w:rsid w:val="005D5188"/>
    <w:rsid w:val="005D5778"/>
    <w:rsid w:val="005D5BC1"/>
    <w:rsid w:val="005D5BC6"/>
    <w:rsid w:val="005D5E65"/>
    <w:rsid w:val="005D6003"/>
    <w:rsid w:val="005D61D3"/>
    <w:rsid w:val="005D634F"/>
    <w:rsid w:val="005D6A61"/>
    <w:rsid w:val="005D6F06"/>
    <w:rsid w:val="005D6F22"/>
    <w:rsid w:val="005D6F6E"/>
    <w:rsid w:val="005D7C6C"/>
    <w:rsid w:val="005DF1A2"/>
    <w:rsid w:val="005E0077"/>
    <w:rsid w:val="005E0365"/>
    <w:rsid w:val="005E069F"/>
    <w:rsid w:val="005E0836"/>
    <w:rsid w:val="005E2429"/>
    <w:rsid w:val="005E270D"/>
    <w:rsid w:val="005E2E3D"/>
    <w:rsid w:val="005E30FA"/>
    <w:rsid w:val="005E36F3"/>
    <w:rsid w:val="005E3814"/>
    <w:rsid w:val="005E4523"/>
    <w:rsid w:val="005E4896"/>
    <w:rsid w:val="005E4A92"/>
    <w:rsid w:val="005E4AC2"/>
    <w:rsid w:val="005E4E39"/>
    <w:rsid w:val="005E52EA"/>
    <w:rsid w:val="005E54F5"/>
    <w:rsid w:val="005E5DF4"/>
    <w:rsid w:val="005E6D19"/>
    <w:rsid w:val="005E7492"/>
    <w:rsid w:val="005F000E"/>
    <w:rsid w:val="005F00E0"/>
    <w:rsid w:val="005F01C5"/>
    <w:rsid w:val="005F04EE"/>
    <w:rsid w:val="005F0C23"/>
    <w:rsid w:val="005F0C66"/>
    <w:rsid w:val="005F172D"/>
    <w:rsid w:val="005F1AF8"/>
    <w:rsid w:val="005F1E36"/>
    <w:rsid w:val="005F24B2"/>
    <w:rsid w:val="005F26BA"/>
    <w:rsid w:val="005F2F0D"/>
    <w:rsid w:val="005F331C"/>
    <w:rsid w:val="005F3F86"/>
    <w:rsid w:val="005F402A"/>
    <w:rsid w:val="005F4916"/>
    <w:rsid w:val="005F543E"/>
    <w:rsid w:val="005F5B6F"/>
    <w:rsid w:val="005F5F53"/>
    <w:rsid w:val="005F605E"/>
    <w:rsid w:val="005F60A5"/>
    <w:rsid w:val="005F671D"/>
    <w:rsid w:val="005F6953"/>
    <w:rsid w:val="005F6BCE"/>
    <w:rsid w:val="005F7757"/>
    <w:rsid w:val="005F7877"/>
    <w:rsid w:val="005F791D"/>
    <w:rsid w:val="006018AE"/>
    <w:rsid w:val="006019D7"/>
    <w:rsid w:val="00602597"/>
    <w:rsid w:val="00602CF8"/>
    <w:rsid w:val="00602E2F"/>
    <w:rsid w:val="0060358A"/>
    <w:rsid w:val="00603AA2"/>
    <w:rsid w:val="00603DEA"/>
    <w:rsid w:val="00604834"/>
    <w:rsid w:val="006051A2"/>
    <w:rsid w:val="00607445"/>
    <w:rsid w:val="00607BEB"/>
    <w:rsid w:val="00607EE9"/>
    <w:rsid w:val="00607F48"/>
    <w:rsid w:val="00611003"/>
    <w:rsid w:val="00611BC9"/>
    <w:rsid w:val="006123D4"/>
    <w:rsid w:val="006126EE"/>
    <w:rsid w:val="00613010"/>
    <w:rsid w:val="00613107"/>
    <w:rsid w:val="006135E4"/>
    <w:rsid w:val="006138D6"/>
    <w:rsid w:val="00613907"/>
    <w:rsid w:val="00613E71"/>
    <w:rsid w:val="0061449D"/>
    <w:rsid w:val="00614AD4"/>
    <w:rsid w:val="00614EA5"/>
    <w:rsid w:val="0061549A"/>
    <w:rsid w:val="006154E2"/>
    <w:rsid w:val="0061551A"/>
    <w:rsid w:val="006157F1"/>
    <w:rsid w:val="006168DE"/>
    <w:rsid w:val="006171D8"/>
    <w:rsid w:val="00617265"/>
    <w:rsid w:val="006178ED"/>
    <w:rsid w:val="00617CF9"/>
    <w:rsid w:val="00617FEE"/>
    <w:rsid w:val="00620519"/>
    <w:rsid w:val="006219D5"/>
    <w:rsid w:val="0062402E"/>
    <w:rsid w:val="006240BA"/>
    <w:rsid w:val="006245D8"/>
    <w:rsid w:val="00625762"/>
    <w:rsid w:val="00625C5D"/>
    <w:rsid w:val="00625E98"/>
    <w:rsid w:val="006260DA"/>
    <w:rsid w:val="006260E0"/>
    <w:rsid w:val="00630330"/>
    <w:rsid w:val="0063040F"/>
    <w:rsid w:val="00630E6C"/>
    <w:rsid w:val="00632460"/>
    <w:rsid w:val="00632499"/>
    <w:rsid w:val="00632620"/>
    <w:rsid w:val="00632B8E"/>
    <w:rsid w:val="00632CDA"/>
    <w:rsid w:val="006330A5"/>
    <w:rsid w:val="00633775"/>
    <w:rsid w:val="00634365"/>
    <w:rsid w:val="00634D25"/>
    <w:rsid w:val="00634ECE"/>
    <w:rsid w:val="00636155"/>
    <w:rsid w:val="00636194"/>
    <w:rsid w:val="00636902"/>
    <w:rsid w:val="006370B3"/>
    <w:rsid w:val="006379C2"/>
    <w:rsid w:val="00637F45"/>
    <w:rsid w:val="00637F9C"/>
    <w:rsid w:val="00641353"/>
    <w:rsid w:val="006415CF"/>
    <w:rsid w:val="0064185C"/>
    <w:rsid w:val="00641E79"/>
    <w:rsid w:val="00642923"/>
    <w:rsid w:val="00643FE0"/>
    <w:rsid w:val="006442A5"/>
    <w:rsid w:val="00644576"/>
    <w:rsid w:val="006456E4"/>
    <w:rsid w:val="006463C9"/>
    <w:rsid w:val="0064697B"/>
    <w:rsid w:val="00646B1E"/>
    <w:rsid w:val="00646E09"/>
    <w:rsid w:val="00646F1F"/>
    <w:rsid w:val="006479E9"/>
    <w:rsid w:val="00647F44"/>
    <w:rsid w:val="006502F6"/>
    <w:rsid w:val="00650513"/>
    <w:rsid w:val="006505CE"/>
    <w:rsid w:val="00650951"/>
    <w:rsid w:val="00650E1B"/>
    <w:rsid w:val="006515FF"/>
    <w:rsid w:val="00652232"/>
    <w:rsid w:val="00652AFB"/>
    <w:rsid w:val="006533D8"/>
    <w:rsid w:val="006538AE"/>
    <w:rsid w:val="00653DCC"/>
    <w:rsid w:val="00653F58"/>
    <w:rsid w:val="00654482"/>
    <w:rsid w:val="00654613"/>
    <w:rsid w:val="00654FD0"/>
    <w:rsid w:val="00655757"/>
    <w:rsid w:val="0065695C"/>
    <w:rsid w:val="00656961"/>
    <w:rsid w:val="006569EB"/>
    <w:rsid w:val="00656F25"/>
    <w:rsid w:val="00657238"/>
    <w:rsid w:val="006573B5"/>
    <w:rsid w:val="0066083B"/>
    <w:rsid w:val="00660E13"/>
    <w:rsid w:val="0066214B"/>
    <w:rsid w:val="00662249"/>
    <w:rsid w:val="00662269"/>
    <w:rsid w:val="00662F6D"/>
    <w:rsid w:val="00663D44"/>
    <w:rsid w:val="00663F7C"/>
    <w:rsid w:val="0066444A"/>
    <w:rsid w:val="00664ABC"/>
    <w:rsid w:val="00664C29"/>
    <w:rsid w:val="006654D7"/>
    <w:rsid w:val="006657AC"/>
    <w:rsid w:val="006666F5"/>
    <w:rsid w:val="006702ED"/>
    <w:rsid w:val="00670593"/>
    <w:rsid w:val="006707F0"/>
    <w:rsid w:val="00674509"/>
    <w:rsid w:val="00674721"/>
    <w:rsid w:val="00674E60"/>
    <w:rsid w:val="00674F9D"/>
    <w:rsid w:val="0067594D"/>
    <w:rsid w:val="0067678C"/>
    <w:rsid w:val="006768A4"/>
    <w:rsid w:val="0067723D"/>
    <w:rsid w:val="00677D23"/>
    <w:rsid w:val="00680506"/>
    <w:rsid w:val="00680CB9"/>
    <w:rsid w:val="00680D0B"/>
    <w:rsid w:val="00680D60"/>
    <w:rsid w:val="00680E14"/>
    <w:rsid w:val="00680F58"/>
    <w:rsid w:val="006813D1"/>
    <w:rsid w:val="00682C0A"/>
    <w:rsid w:val="006833F5"/>
    <w:rsid w:val="00683B95"/>
    <w:rsid w:val="00683DE4"/>
    <w:rsid w:val="0068422D"/>
    <w:rsid w:val="00684F00"/>
    <w:rsid w:val="006856B8"/>
    <w:rsid w:val="006861AA"/>
    <w:rsid w:val="006866AD"/>
    <w:rsid w:val="006876FC"/>
    <w:rsid w:val="00687FB5"/>
    <w:rsid w:val="0069082B"/>
    <w:rsid w:val="00690E6C"/>
    <w:rsid w:val="006914F7"/>
    <w:rsid w:val="00691B84"/>
    <w:rsid w:val="00691CF0"/>
    <w:rsid w:val="0069300D"/>
    <w:rsid w:val="006946D7"/>
    <w:rsid w:val="00694726"/>
    <w:rsid w:val="006947CA"/>
    <w:rsid w:val="006948FF"/>
    <w:rsid w:val="0069599F"/>
    <w:rsid w:val="006959F7"/>
    <w:rsid w:val="00695E4D"/>
    <w:rsid w:val="00695F03"/>
    <w:rsid w:val="00696D52"/>
    <w:rsid w:val="0069739A"/>
    <w:rsid w:val="006975D4"/>
    <w:rsid w:val="006975F7"/>
    <w:rsid w:val="006978D4"/>
    <w:rsid w:val="00697AE5"/>
    <w:rsid w:val="006A034A"/>
    <w:rsid w:val="006A1195"/>
    <w:rsid w:val="006A1419"/>
    <w:rsid w:val="006A192A"/>
    <w:rsid w:val="006A1A98"/>
    <w:rsid w:val="006A1C3E"/>
    <w:rsid w:val="006A1F74"/>
    <w:rsid w:val="006A2206"/>
    <w:rsid w:val="006A329E"/>
    <w:rsid w:val="006A351B"/>
    <w:rsid w:val="006A3AB0"/>
    <w:rsid w:val="006A3E43"/>
    <w:rsid w:val="006A3F2B"/>
    <w:rsid w:val="006A3FAD"/>
    <w:rsid w:val="006A4B1A"/>
    <w:rsid w:val="006A56F5"/>
    <w:rsid w:val="006A57E2"/>
    <w:rsid w:val="006A5AF2"/>
    <w:rsid w:val="006A6639"/>
    <w:rsid w:val="006A6D8C"/>
    <w:rsid w:val="006A7131"/>
    <w:rsid w:val="006A7AD7"/>
    <w:rsid w:val="006A7BF7"/>
    <w:rsid w:val="006B00CB"/>
    <w:rsid w:val="006B013B"/>
    <w:rsid w:val="006B0EC3"/>
    <w:rsid w:val="006B12FB"/>
    <w:rsid w:val="006B1EA3"/>
    <w:rsid w:val="006B257B"/>
    <w:rsid w:val="006B2914"/>
    <w:rsid w:val="006B2E62"/>
    <w:rsid w:val="006B2FA5"/>
    <w:rsid w:val="006B3849"/>
    <w:rsid w:val="006B3ABF"/>
    <w:rsid w:val="006B3E07"/>
    <w:rsid w:val="006B3E85"/>
    <w:rsid w:val="006B480C"/>
    <w:rsid w:val="006B4922"/>
    <w:rsid w:val="006B4AF2"/>
    <w:rsid w:val="006B4B47"/>
    <w:rsid w:val="006B67AD"/>
    <w:rsid w:val="006B68BE"/>
    <w:rsid w:val="006B7C5D"/>
    <w:rsid w:val="006B7F50"/>
    <w:rsid w:val="006C0003"/>
    <w:rsid w:val="006C07D0"/>
    <w:rsid w:val="006C0884"/>
    <w:rsid w:val="006C0C1A"/>
    <w:rsid w:val="006C16D0"/>
    <w:rsid w:val="006C177F"/>
    <w:rsid w:val="006C1877"/>
    <w:rsid w:val="006C1A02"/>
    <w:rsid w:val="006C1A5F"/>
    <w:rsid w:val="006C34D5"/>
    <w:rsid w:val="006C3677"/>
    <w:rsid w:val="006C3A8D"/>
    <w:rsid w:val="006C3E49"/>
    <w:rsid w:val="006C499F"/>
    <w:rsid w:val="006C4D0D"/>
    <w:rsid w:val="006C4DB4"/>
    <w:rsid w:val="006C546D"/>
    <w:rsid w:val="006C5F0A"/>
    <w:rsid w:val="006C5F0D"/>
    <w:rsid w:val="006C612F"/>
    <w:rsid w:val="006C697A"/>
    <w:rsid w:val="006C6CAC"/>
    <w:rsid w:val="006C70B9"/>
    <w:rsid w:val="006C7E5E"/>
    <w:rsid w:val="006D05F5"/>
    <w:rsid w:val="006D06C9"/>
    <w:rsid w:val="006D0DC5"/>
    <w:rsid w:val="006D11DE"/>
    <w:rsid w:val="006D14A5"/>
    <w:rsid w:val="006D1505"/>
    <w:rsid w:val="006D2104"/>
    <w:rsid w:val="006D2A7B"/>
    <w:rsid w:val="006D3A65"/>
    <w:rsid w:val="006D3DF7"/>
    <w:rsid w:val="006D40F6"/>
    <w:rsid w:val="006D437A"/>
    <w:rsid w:val="006D451B"/>
    <w:rsid w:val="006D45D9"/>
    <w:rsid w:val="006D4B61"/>
    <w:rsid w:val="006D4E39"/>
    <w:rsid w:val="006D5649"/>
    <w:rsid w:val="006D57DF"/>
    <w:rsid w:val="006D6DA1"/>
    <w:rsid w:val="006D7D0F"/>
    <w:rsid w:val="006D7E21"/>
    <w:rsid w:val="006D7F95"/>
    <w:rsid w:val="006E05F8"/>
    <w:rsid w:val="006E153F"/>
    <w:rsid w:val="006E1D8F"/>
    <w:rsid w:val="006E2531"/>
    <w:rsid w:val="006E305A"/>
    <w:rsid w:val="006E3134"/>
    <w:rsid w:val="006E3625"/>
    <w:rsid w:val="006E39FA"/>
    <w:rsid w:val="006E3A71"/>
    <w:rsid w:val="006E4492"/>
    <w:rsid w:val="006E4784"/>
    <w:rsid w:val="006E4D1D"/>
    <w:rsid w:val="006E5BA4"/>
    <w:rsid w:val="006E5D32"/>
    <w:rsid w:val="006E6084"/>
    <w:rsid w:val="006E60D5"/>
    <w:rsid w:val="006E64EE"/>
    <w:rsid w:val="006E6B7F"/>
    <w:rsid w:val="006E6B85"/>
    <w:rsid w:val="006E6BC0"/>
    <w:rsid w:val="006E6BED"/>
    <w:rsid w:val="006E6DC4"/>
    <w:rsid w:val="006E6ECA"/>
    <w:rsid w:val="006E70A0"/>
    <w:rsid w:val="006E7CF4"/>
    <w:rsid w:val="006F0CE6"/>
    <w:rsid w:val="006F1C63"/>
    <w:rsid w:val="006F1C84"/>
    <w:rsid w:val="006F2360"/>
    <w:rsid w:val="006F26F4"/>
    <w:rsid w:val="006F2715"/>
    <w:rsid w:val="006F2E21"/>
    <w:rsid w:val="006F35F8"/>
    <w:rsid w:val="006F3B17"/>
    <w:rsid w:val="006F3FEB"/>
    <w:rsid w:val="006F410F"/>
    <w:rsid w:val="006F451A"/>
    <w:rsid w:val="006F4EF4"/>
    <w:rsid w:val="006F6076"/>
    <w:rsid w:val="006F61A3"/>
    <w:rsid w:val="006F6469"/>
    <w:rsid w:val="006F65AF"/>
    <w:rsid w:val="006F6607"/>
    <w:rsid w:val="006F6806"/>
    <w:rsid w:val="007000A0"/>
    <w:rsid w:val="0070082B"/>
    <w:rsid w:val="00700BBF"/>
    <w:rsid w:val="0070153E"/>
    <w:rsid w:val="00701812"/>
    <w:rsid w:val="00701EA3"/>
    <w:rsid w:val="007022CC"/>
    <w:rsid w:val="007024C7"/>
    <w:rsid w:val="00702730"/>
    <w:rsid w:val="00702997"/>
    <w:rsid w:val="0070417F"/>
    <w:rsid w:val="00704337"/>
    <w:rsid w:val="00704435"/>
    <w:rsid w:val="007051AD"/>
    <w:rsid w:val="00705723"/>
    <w:rsid w:val="007057CD"/>
    <w:rsid w:val="00705D13"/>
    <w:rsid w:val="00706390"/>
    <w:rsid w:val="00706995"/>
    <w:rsid w:val="00706D04"/>
    <w:rsid w:val="00706D14"/>
    <w:rsid w:val="00707212"/>
    <w:rsid w:val="00707342"/>
    <w:rsid w:val="00710404"/>
    <w:rsid w:val="00710B7E"/>
    <w:rsid w:val="00710DD0"/>
    <w:rsid w:val="007111AC"/>
    <w:rsid w:val="00711D14"/>
    <w:rsid w:val="007132E1"/>
    <w:rsid w:val="00713549"/>
    <w:rsid w:val="007147FE"/>
    <w:rsid w:val="00714A84"/>
    <w:rsid w:val="00714C73"/>
    <w:rsid w:val="00714E50"/>
    <w:rsid w:val="007151DD"/>
    <w:rsid w:val="0071641E"/>
    <w:rsid w:val="00716889"/>
    <w:rsid w:val="00716B84"/>
    <w:rsid w:val="0071736F"/>
    <w:rsid w:val="00717734"/>
    <w:rsid w:val="00717B4D"/>
    <w:rsid w:val="00720047"/>
    <w:rsid w:val="007207F3"/>
    <w:rsid w:val="00720CA6"/>
    <w:rsid w:val="0072108B"/>
    <w:rsid w:val="0072112A"/>
    <w:rsid w:val="0072145A"/>
    <w:rsid w:val="007217DF"/>
    <w:rsid w:val="0072195E"/>
    <w:rsid w:val="007223B0"/>
    <w:rsid w:val="007223CA"/>
    <w:rsid w:val="00722515"/>
    <w:rsid w:val="0072257D"/>
    <w:rsid w:val="00722A67"/>
    <w:rsid w:val="00722FFB"/>
    <w:rsid w:val="00723121"/>
    <w:rsid w:val="0072391C"/>
    <w:rsid w:val="0072410C"/>
    <w:rsid w:val="00724649"/>
    <w:rsid w:val="007248AE"/>
    <w:rsid w:val="00724D78"/>
    <w:rsid w:val="007253BB"/>
    <w:rsid w:val="0072572F"/>
    <w:rsid w:val="00726563"/>
    <w:rsid w:val="00727B4E"/>
    <w:rsid w:val="0073023C"/>
    <w:rsid w:val="0073107D"/>
    <w:rsid w:val="0073173B"/>
    <w:rsid w:val="00731DEC"/>
    <w:rsid w:val="0073239A"/>
    <w:rsid w:val="007341A7"/>
    <w:rsid w:val="0073439F"/>
    <w:rsid w:val="007344C1"/>
    <w:rsid w:val="00734D96"/>
    <w:rsid w:val="00734E65"/>
    <w:rsid w:val="007357B9"/>
    <w:rsid w:val="00735D7E"/>
    <w:rsid w:val="0073615A"/>
    <w:rsid w:val="0073635E"/>
    <w:rsid w:val="0073644E"/>
    <w:rsid w:val="007367B4"/>
    <w:rsid w:val="0073707D"/>
    <w:rsid w:val="007374AD"/>
    <w:rsid w:val="007374E1"/>
    <w:rsid w:val="00740A73"/>
    <w:rsid w:val="007414A7"/>
    <w:rsid w:val="007415DA"/>
    <w:rsid w:val="00741821"/>
    <w:rsid w:val="00743A6A"/>
    <w:rsid w:val="00743E96"/>
    <w:rsid w:val="00746DD5"/>
    <w:rsid w:val="0074706F"/>
    <w:rsid w:val="00747F3C"/>
    <w:rsid w:val="007514AD"/>
    <w:rsid w:val="0075171D"/>
    <w:rsid w:val="007517E7"/>
    <w:rsid w:val="00752469"/>
    <w:rsid w:val="007525DA"/>
    <w:rsid w:val="00753192"/>
    <w:rsid w:val="00753E40"/>
    <w:rsid w:val="00754083"/>
    <w:rsid w:val="00754120"/>
    <w:rsid w:val="007546DC"/>
    <w:rsid w:val="00754A97"/>
    <w:rsid w:val="00754C42"/>
    <w:rsid w:val="0075518E"/>
    <w:rsid w:val="007553DF"/>
    <w:rsid w:val="00756661"/>
    <w:rsid w:val="007566D9"/>
    <w:rsid w:val="0075699E"/>
    <w:rsid w:val="00756DFB"/>
    <w:rsid w:val="00757013"/>
    <w:rsid w:val="007570F8"/>
    <w:rsid w:val="0075788F"/>
    <w:rsid w:val="00757D64"/>
    <w:rsid w:val="007600CB"/>
    <w:rsid w:val="007601FD"/>
    <w:rsid w:val="007603DB"/>
    <w:rsid w:val="007610AD"/>
    <w:rsid w:val="00761131"/>
    <w:rsid w:val="007613D1"/>
    <w:rsid w:val="00761B38"/>
    <w:rsid w:val="00761F6C"/>
    <w:rsid w:val="007623A9"/>
    <w:rsid w:val="007627B0"/>
    <w:rsid w:val="00762B03"/>
    <w:rsid w:val="00762B6B"/>
    <w:rsid w:val="00762D2F"/>
    <w:rsid w:val="00764063"/>
    <w:rsid w:val="00765452"/>
    <w:rsid w:val="0076559E"/>
    <w:rsid w:val="0076631F"/>
    <w:rsid w:val="00766AA4"/>
    <w:rsid w:val="00766E95"/>
    <w:rsid w:val="00767090"/>
    <w:rsid w:val="007676B7"/>
    <w:rsid w:val="00767960"/>
    <w:rsid w:val="00767F4B"/>
    <w:rsid w:val="007714C4"/>
    <w:rsid w:val="0077170C"/>
    <w:rsid w:val="00772172"/>
    <w:rsid w:val="00772E6F"/>
    <w:rsid w:val="0077378E"/>
    <w:rsid w:val="00773F3D"/>
    <w:rsid w:val="00774040"/>
    <w:rsid w:val="0077412E"/>
    <w:rsid w:val="007742C1"/>
    <w:rsid w:val="00774542"/>
    <w:rsid w:val="007745A2"/>
    <w:rsid w:val="00774943"/>
    <w:rsid w:val="00774AA1"/>
    <w:rsid w:val="0077524A"/>
    <w:rsid w:val="00775BAD"/>
    <w:rsid w:val="0077699A"/>
    <w:rsid w:val="007775ED"/>
    <w:rsid w:val="007818FE"/>
    <w:rsid w:val="00782128"/>
    <w:rsid w:val="00783610"/>
    <w:rsid w:val="00783A63"/>
    <w:rsid w:val="00783F86"/>
    <w:rsid w:val="00784987"/>
    <w:rsid w:val="007858C6"/>
    <w:rsid w:val="00785FD1"/>
    <w:rsid w:val="00785FFE"/>
    <w:rsid w:val="0078679C"/>
    <w:rsid w:val="007867D8"/>
    <w:rsid w:val="00786A4B"/>
    <w:rsid w:val="007872C5"/>
    <w:rsid w:val="00787A9E"/>
    <w:rsid w:val="00787B04"/>
    <w:rsid w:val="0079052A"/>
    <w:rsid w:val="0079075B"/>
    <w:rsid w:val="00790C54"/>
    <w:rsid w:val="0079104B"/>
    <w:rsid w:val="00791756"/>
    <w:rsid w:val="007917C2"/>
    <w:rsid w:val="00792F0A"/>
    <w:rsid w:val="00793011"/>
    <w:rsid w:val="00793245"/>
    <w:rsid w:val="0079371F"/>
    <w:rsid w:val="00793803"/>
    <w:rsid w:val="0079397B"/>
    <w:rsid w:val="00794844"/>
    <w:rsid w:val="00794998"/>
    <w:rsid w:val="00795371"/>
    <w:rsid w:val="007955EA"/>
    <w:rsid w:val="00795A51"/>
    <w:rsid w:val="00795FE6"/>
    <w:rsid w:val="00797D30"/>
    <w:rsid w:val="007A06A7"/>
    <w:rsid w:val="007A07D0"/>
    <w:rsid w:val="007A1D08"/>
    <w:rsid w:val="007A1D1E"/>
    <w:rsid w:val="007A1E88"/>
    <w:rsid w:val="007A278E"/>
    <w:rsid w:val="007A2A46"/>
    <w:rsid w:val="007A3B9F"/>
    <w:rsid w:val="007A3F1C"/>
    <w:rsid w:val="007A4411"/>
    <w:rsid w:val="007A445B"/>
    <w:rsid w:val="007A481F"/>
    <w:rsid w:val="007A4B47"/>
    <w:rsid w:val="007A4D6C"/>
    <w:rsid w:val="007A4E07"/>
    <w:rsid w:val="007A5716"/>
    <w:rsid w:val="007A5CE9"/>
    <w:rsid w:val="007A65F8"/>
    <w:rsid w:val="007A68F1"/>
    <w:rsid w:val="007A6DFD"/>
    <w:rsid w:val="007AB06C"/>
    <w:rsid w:val="007B09E5"/>
    <w:rsid w:val="007B0E7F"/>
    <w:rsid w:val="007B1104"/>
    <w:rsid w:val="007B436C"/>
    <w:rsid w:val="007B5043"/>
    <w:rsid w:val="007B535A"/>
    <w:rsid w:val="007B568F"/>
    <w:rsid w:val="007B6E0B"/>
    <w:rsid w:val="007B7074"/>
    <w:rsid w:val="007C0891"/>
    <w:rsid w:val="007C1239"/>
    <w:rsid w:val="007C171D"/>
    <w:rsid w:val="007C1C65"/>
    <w:rsid w:val="007C247A"/>
    <w:rsid w:val="007C287A"/>
    <w:rsid w:val="007C30C0"/>
    <w:rsid w:val="007C4794"/>
    <w:rsid w:val="007C4CB4"/>
    <w:rsid w:val="007C523D"/>
    <w:rsid w:val="007C53BA"/>
    <w:rsid w:val="007C55FB"/>
    <w:rsid w:val="007C5BC5"/>
    <w:rsid w:val="007C6761"/>
    <w:rsid w:val="007C6D64"/>
    <w:rsid w:val="007C6EAE"/>
    <w:rsid w:val="007C72D4"/>
    <w:rsid w:val="007C7639"/>
    <w:rsid w:val="007C7733"/>
    <w:rsid w:val="007C79F2"/>
    <w:rsid w:val="007C7E75"/>
    <w:rsid w:val="007D0571"/>
    <w:rsid w:val="007D082A"/>
    <w:rsid w:val="007D0A89"/>
    <w:rsid w:val="007D0B4B"/>
    <w:rsid w:val="007D0E18"/>
    <w:rsid w:val="007D116D"/>
    <w:rsid w:val="007D1BEC"/>
    <w:rsid w:val="007D1DFA"/>
    <w:rsid w:val="007D2160"/>
    <w:rsid w:val="007D39A8"/>
    <w:rsid w:val="007D4529"/>
    <w:rsid w:val="007D538D"/>
    <w:rsid w:val="007D5B3E"/>
    <w:rsid w:val="007D5F15"/>
    <w:rsid w:val="007D60B1"/>
    <w:rsid w:val="007D60BD"/>
    <w:rsid w:val="007D7D64"/>
    <w:rsid w:val="007E024F"/>
    <w:rsid w:val="007E0DCE"/>
    <w:rsid w:val="007E174B"/>
    <w:rsid w:val="007E17CC"/>
    <w:rsid w:val="007E1DF6"/>
    <w:rsid w:val="007E245C"/>
    <w:rsid w:val="007E2DE9"/>
    <w:rsid w:val="007E2EFB"/>
    <w:rsid w:val="007E43B0"/>
    <w:rsid w:val="007E51D3"/>
    <w:rsid w:val="007E56CF"/>
    <w:rsid w:val="007E67B8"/>
    <w:rsid w:val="007E69BD"/>
    <w:rsid w:val="007F0234"/>
    <w:rsid w:val="007F0FDC"/>
    <w:rsid w:val="007F1C4D"/>
    <w:rsid w:val="007F1F4F"/>
    <w:rsid w:val="007F22B4"/>
    <w:rsid w:val="007F3C68"/>
    <w:rsid w:val="007F3E50"/>
    <w:rsid w:val="007F42F3"/>
    <w:rsid w:val="007F4365"/>
    <w:rsid w:val="007F45EB"/>
    <w:rsid w:val="007F4810"/>
    <w:rsid w:val="007F5EE7"/>
    <w:rsid w:val="007F6223"/>
    <w:rsid w:val="007F6FDB"/>
    <w:rsid w:val="007F796E"/>
    <w:rsid w:val="007F79CF"/>
    <w:rsid w:val="00800238"/>
    <w:rsid w:val="008018D2"/>
    <w:rsid w:val="00801A8A"/>
    <w:rsid w:val="00802DE2"/>
    <w:rsid w:val="00802E03"/>
    <w:rsid w:val="00802F5C"/>
    <w:rsid w:val="0080329D"/>
    <w:rsid w:val="0080373A"/>
    <w:rsid w:val="00803A9A"/>
    <w:rsid w:val="008051CE"/>
    <w:rsid w:val="0080576F"/>
    <w:rsid w:val="00805A52"/>
    <w:rsid w:val="00805F25"/>
    <w:rsid w:val="0080677E"/>
    <w:rsid w:val="00806E7D"/>
    <w:rsid w:val="00807137"/>
    <w:rsid w:val="0081082B"/>
    <w:rsid w:val="008122FD"/>
    <w:rsid w:val="0081295B"/>
    <w:rsid w:val="00812C05"/>
    <w:rsid w:val="00813366"/>
    <w:rsid w:val="00813B0F"/>
    <w:rsid w:val="00813B31"/>
    <w:rsid w:val="00813C23"/>
    <w:rsid w:val="00813EAC"/>
    <w:rsid w:val="00814CFB"/>
    <w:rsid w:val="00814DB7"/>
    <w:rsid w:val="0081514A"/>
    <w:rsid w:val="008157E9"/>
    <w:rsid w:val="008159E4"/>
    <w:rsid w:val="00815C8D"/>
    <w:rsid w:val="00815F2B"/>
    <w:rsid w:val="00816437"/>
    <w:rsid w:val="00816D68"/>
    <w:rsid w:val="00817CD0"/>
    <w:rsid w:val="0081E91C"/>
    <w:rsid w:val="008200C4"/>
    <w:rsid w:val="00820BC8"/>
    <w:rsid w:val="00821A57"/>
    <w:rsid w:val="00822227"/>
    <w:rsid w:val="00822240"/>
    <w:rsid w:val="0082259D"/>
    <w:rsid w:val="0082265A"/>
    <w:rsid w:val="00822A82"/>
    <w:rsid w:val="00822F2C"/>
    <w:rsid w:val="0082314F"/>
    <w:rsid w:val="0082316D"/>
    <w:rsid w:val="00823361"/>
    <w:rsid w:val="0082341D"/>
    <w:rsid w:val="00824A4C"/>
    <w:rsid w:val="00824A91"/>
    <w:rsid w:val="00824BAA"/>
    <w:rsid w:val="00824CB2"/>
    <w:rsid w:val="00825024"/>
    <w:rsid w:val="0082504A"/>
    <w:rsid w:val="00825589"/>
    <w:rsid w:val="00825B35"/>
    <w:rsid w:val="00825F9F"/>
    <w:rsid w:val="008267F8"/>
    <w:rsid w:val="00826892"/>
    <w:rsid w:val="0082696E"/>
    <w:rsid w:val="00826B43"/>
    <w:rsid w:val="00826EB9"/>
    <w:rsid w:val="008275DE"/>
    <w:rsid w:val="00827C5B"/>
    <w:rsid w:val="00827DB3"/>
    <w:rsid w:val="008305C9"/>
    <w:rsid w:val="00831286"/>
    <w:rsid w:val="00831639"/>
    <w:rsid w:val="0083199E"/>
    <w:rsid w:val="00831EB8"/>
    <w:rsid w:val="0083229C"/>
    <w:rsid w:val="00832DE1"/>
    <w:rsid w:val="00832EDE"/>
    <w:rsid w:val="00832F99"/>
    <w:rsid w:val="008334A1"/>
    <w:rsid w:val="008339F9"/>
    <w:rsid w:val="00833F49"/>
    <w:rsid w:val="00834A7F"/>
    <w:rsid w:val="008350B6"/>
    <w:rsid w:val="00835163"/>
    <w:rsid w:val="008367AD"/>
    <w:rsid w:val="00836B70"/>
    <w:rsid w:val="00836B81"/>
    <w:rsid w:val="00837AC9"/>
    <w:rsid w:val="00837F3C"/>
    <w:rsid w:val="008402A8"/>
    <w:rsid w:val="008410DA"/>
    <w:rsid w:val="00841529"/>
    <w:rsid w:val="00841BC8"/>
    <w:rsid w:val="00841C4F"/>
    <w:rsid w:val="00841FF9"/>
    <w:rsid w:val="008431DB"/>
    <w:rsid w:val="00843A03"/>
    <w:rsid w:val="00844F02"/>
    <w:rsid w:val="008453AB"/>
    <w:rsid w:val="0084557E"/>
    <w:rsid w:val="00845996"/>
    <w:rsid w:val="00846665"/>
    <w:rsid w:val="0084699F"/>
    <w:rsid w:val="00846DF3"/>
    <w:rsid w:val="00846F13"/>
    <w:rsid w:val="00847057"/>
    <w:rsid w:val="0084717D"/>
    <w:rsid w:val="00847653"/>
    <w:rsid w:val="00847813"/>
    <w:rsid w:val="00847929"/>
    <w:rsid w:val="00847BC7"/>
    <w:rsid w:val="00850059"/>
    <w:rsid w:val="008509F9"/>
    <w:rsid w:val="00850B29"/>
    <w:rsid w:val="00850E15"/>
    <w:rsid w:val="008510AC"/>
    <w:rsid w:val="0085143A"/>
    <w:rsid w:val="0085193C"/>
    <w:rsid w:val="00851C11"/>
    <w:rsid w:val="00851F02"/>
    <w:rsid w:val="008523AE"/>
    <w:rsid w:val="00852CA3"/>
    <w:rsid w:val="00852D54"/>
    <w:rsid w:val="00853F97"/>
    <w:rsid w:val="00854C55"/>
    <w:rsid w:val="008550F8"/>
    <w:rsid w:val="008552DF"/>
    <w:rsid w:val="0085557A"/>
    <w:rsid w:val="00855A00"/>
    <w:rsid w:val="0085663B"/>
    <w:rsid w:val="00856CF4"/>
    <w:rsid w:val="008575BB"/>
    <w:rsid w:val="00857B02"/>
    <w:rsid w:val="00857FEC"/>
    <w:rsid w:val="00860215"/>
    <w:rsid w:val="0086078F"/>
    <w:rsid w:val="00860A7F"/>
    <w:rsid w:val="00860E8D"/>
    <w:rsid w:val="0086127D"/>
    <w:rsid w:val="008615C7"/>
    <w:rsid w:val="00861B30"/>
    <w:rsid w:val="008623A3"/>
    <w:rsid w:val="0086259E"/>
    <w:rsid w:val="008625F5"/>
    <w:rsid w:val="008629F7"/>
    <w:rsid w:val="00862B0F"/>
    <w:rsid w:val="00862D9F"/>
    <w:rsid w:val="00863BD2"/>
    <w:rsid w:val="00863E9D"/>
    <w:rsid w:val="00864275"/>
    <w:rsid w:val="00864CC7"/>
    <w:rsid w:val="00865506"/>
    <w:rsid w:val="00865AE8"/>
    <w:rsid w:val="00865D48"/>
    <w:rsid w:val="00865ED4"/>
    <w:rsid w:val="00866081"/>
    <w:rsid w:val="008660D3"/>
    <w:rsid w:val="00866BFC"/>
    <w:rsid w:val="0086709D"/>
    <w:rsid w:val="00867B45"/>
    <w:rsid w:val="00870ABE"/>
    <w:rsid w:val="00870C64"/>
    <w:rsid w:val="00871A34"/>
    <w:rsid w:val="00871E8F"/>
    <w:rsid w:val="0087234D"/>
    <w:rsid w:val="00872439"/>
    <w:rsid w:val="00872817"/>
    <w:rsid w:val="0087292D"/>
    <w:rsid w:val="0087328C"/>
    <w:rsid w:val="0087334B"/>
    <w:rsid w:val="008743B6"/>
    <w:rsid w:val="0087454A"/>
    <w:rsid w:val="00874C1A"/>
    <w:rsid w:val="00874C6E"/>
    <w:rsid w:val="0087521C"/>
    <w:rsid w:val="008753AC"/>
    <w:rsid w:val="008753E9"/>
    <w:rsid w:val="00875C7E"/>
    <w:rsid w:val="0087673E"/>
    <w:rsid w:val="00876870"/>
    <w:rsid w:val="0087716E"/>
    <w:rsid w:val="008771C7"/>
    <w:rsid w:val="00877311"/>
    <w:rsid w:val="008777A2"/>
    <w:rsid w:val="008778D1"/>
    <w:rsid w:val="008778E9"/>
    <w:rsid w:val="008778F8"/>
    <w:rsid w:val="00877B2B"/>
    <w:rsid w:val="00880013"/>
    <w:rsid w:val="0088006D"/>
    <w:rsid w:val="008802AA"/>
    <w:rsid w:val="00880315"/>
    <w:rsid w:val="0088096D"/>
    <w:rsid w:val="00881547"/>
    <w:rsid w:val="00882279"/>
    <w:rsid w:val="008822D4"/>
    <w:rsid w:val="008828CA"/>
    <w:rsid w:val="00882946"/>
    <w:rsid w:val="008832A0"/>
    <w:rsid w:val="00883407"/>
    <w:rsid w:val="008836A9"/>
    <w:rsid w:val="008841D5"/>
    <w:rsid w:val="00884FED"/>
    <w:rsid w:val="0088500F"/>
    <w:rsid w:val="00885586"/>
    <w:rsid w:val="00885700"/>
    <w:rsid w:val="00887240"/>
    <w:rsid w:val="0088789C"/>
    <w:rsid w:val="00887DC5"/>
    <w:rsid w:val="008907AB"/>
    <w:rsid w:val="00890C3C"/>
    <w:rsid w:val="00890E1C"/>
    <w:rsid w:val="00891933"/>
    <w:rsid w:val="00891FE3"/>
    <w:rsid w:val="0089304B"/>
    <w:rsid w:val="0089312C"/>
    <w:rsid w:val="00893FAF"/>
    <w:rsid w:val="008945F9"/>
    <w:rsid w:val="00894843"/>
    <w:rsid w:val="00894A70"/>
    <w:rsid w:val="00895DDD"/>
    <w:rsid w:val="00896418"/>
    <w:rsid w:val="00896485"/>
    <w:rsid w:val="00896E64"/>
    <w:rsid w:val="008976CF"/>
    <w:rsid w:val="008A177D"/>
    <w:rsid w:val="008A1E87"/>
    <w:rsid w:val="008A209E"/>
    <w:rsid w:val="008A24A6"/>
    <w:rsid w:val="008A2C20"/>
    <w:rsid w:val="008A2EDB"/>
    <w:rsid w:val="008A44B7"/>
    <w:rsid w:val="008A49BA"/>
    <w:rsid w:val="008A5A0C"/>
    <w:rsid w:val="008A5E2D"/>
    <w:rsid w:val="008A64A4"/>
    <w:rsid w:val="008A682F"/>
    <w:rsid w:val="008A6954"/>
    <w:rsid w:val="008A74EA"/>
    <w:rsid w:val="008A7B4D"/>
    <w:rsid w:val="008B013B"/>
    <w:rsid w:val="008B0533"/>
    <w:rsid w:val="008B06DE"/>
    <w:rsid w:val="008B0ACB"/>
    <w:rsid w:val="008B0FE6"/>
    <w:rsid w:val="008B1B70"/>
    <w:rsid w:val="008B1C4D"/>
    <w:rsid w:val="008B3304"/>
    <w:rsid w:val="008B34C7"/>
    <w:rsid w:val="008B4913"/>
    <w:rsid w:val="008B4C8D"/>
    <w:rsid w:val="008B5009"/>
    <w:rsid w:val="008B6BAA"/>
    <w:rsid w:val="008B72A0"/>
    <w:rsid w:val="008B7541"/>
    <w:rsid w:val="008B7665"/>
    <w:rsid w:val="008B7C09"/>
    <w:rsid w:val="008C0AF5"/>
    <w:rsid w:val="008C1299"/>
    <w:rsid w:val="008C1A81"/>
    <w:rsid w:val="008C1BBA"/>
    <w:rsid w:val="008C228A"/>
    <w:rsid w:val="008C261D"/>
    <w:rsid w:val="008C37E2"/>
    <w:rsid w:val="008C3B7F"/>
    <w:rsid w:val="008C42BC"/>
    <w:rsid w:val="008C490F"/>
    <w:rsid w:val="008C5192"/>
    <w:rsid w:val="008C5425"/>
    <w:rsid w:val="008C5845"/>
    <w:rsid w:val="008C5CFC"/>
    <w:rsid w:val="008C5D73"/>
    <w:rsid w:val="008C6AAB"/>
    <w:rsid w:val="008C779F"/>
    <w:rsid w:val="008D03C5"/>
    <w:rsid w:val="008D1364"/>
    <w:rsid w:val="008D1C43"/>
    <w:rsid w:val="008D1FF7"/>
    <w:rsid w:val="008D2198"/>
    <w:rsid w:val="008D252A"/>
    <w:rsid w:val="008D2621"/>
    <w:rsid w:val="008D2763"/>
    <w:rsid w:val="008D29F8"/>
    <w:rsid w:val="008D3213"/>
    <w:rsid w:val="008D3314"/>
    <w:rsid w:val="008D3A70"/>
    <w:rsid w:val="008D4509"/>
    <w:rsid w:val="008D4CFC"/>
    <w:rsid w:val="008D56B9"/>
    <w:rsid w:val="008D7C76"/>
    <w:rsid w:val="008D7D91"/>
    <w:rsid w:val="008E0279"/>
    <w:rsid w:val="008E10A1"/>
    <w:rsid w:val="008E18A2"/>
    <w:rsid w:val="008E1B51"/>
    <w:rsid w:val="008E1BCE"/>
    <w:rsid w:val="008E2C75"/>
    <w:rsid w:val="008E5183"/>
    <w:rsid w:val="008E5289"/>
    <w:rsid w:val="008E5370"/>
    <w:rsid w:val="008E55A4"/>
    <w:rsid w:val="008E565A"/>
    <w:rsid w:val="008E5A8F"/>
    <w:rsid w:val="008E5DE8"/>
    <w:rsid w:val="008E6338"/>
    <w:rsid w:val="008E6A04"/>
    <w:rsid w:val="008E7D82"/>
    <w:rsid w:val="008F1113"/>
    <w:rsid w:val="008F293A"/>
    <w:rsid w:val="008F450E"/>
    <w:rsid w:val="008F4C71"/>
    <w:rsid w:val="008F4CFC"/>
    <w:rsid w:val="008F52E8"/>
    <w:rsid w:val="008F5FC2"/>
    <w:rsid w:val="008F6677"/>
    <w:rsid w:val="008F6BA4"/>
    <w:rsid w:val="008F6D0A"/>
    <w:rsid w:val="008F7100"/>
    <w:rsid w:val="008F730A"/>
    <w:rsid w:val="008F73D3"/>
    <w:rsid w:val="008F786B"/>
    <w:rsid w:val="008F7E9B"/>
    <w:rsid w:val="00900926"/>
    <w:rsid w:val="00901CF0"/>
    <w:rsid w:val="00901EF0"/>
    <w:rsid w:val="00902418"/>
    <w:rsid w:val="009029EB"/>
    <w:rsid w:val="00903660"/>
    <w:rsid w:val="00903F1C"/>
    <w:rsid w:val="0090409C"/>
    <w:rsid w:val="009043EA"/>
    <w:rsid w:val="00904A53"/>
    <w:rsid w:val="00904A5F"/>
    <w:rsid w:val="00904B38"/>
    <w:rsid w:val="00904C01"/>
    <w:rsid w:val="009056D1"/>
    <w:rsid w:val="009056F4"/>
    <w:rsid w:val="00906E11"/>
    <w:rsid w:val="0090782E"/>
    <w:rsid w:val="009078D6"/>
    <w:rsid w:val="0090D83B"/>
    <w:rsid w:val="009100F4"/>
    <w:rsid w:val="00911B29"/>
    <w:rsid w:val="0091288B"/>
    <w:rsid w:val="00912EC6"/>
    <w:rsid w:val="0091397C"/>
    <w:rsid w:val="00913D12"/>
    <w:rsid w:val="009140AD"/>
    <w:rsid w:val="00915157"/>
    <w:rsid w:val="009156C0"/>
    <w:rsid w:val="00915881"/>
    <w:rsid w:val="00916BF8"/>
    <w:rsid w:val="00920993"/>
    <w:rsid w:val="00921849"/>
    <w:rsid w:val="00921926"/>
    <w:rsid w:val="00922356"/>
    <w:rsid w:val="00922DFC"/>
    <w:rsid w:val="009236C1"/>
    <w:rsid w:val="009236CB"/>
    <w:rsid w:val="00923A39"/>
    <w:rsid w:val="00923E67"/>
    <w:rsid w:val="00923FBA"/>
    <w:rsid w:val="00924924"/>
    <w:rsid w:val="00924A7F"/>
    <w:rsid w:val="00925511"/>
    <w:rsid w:val="0092611C"/>
    <w:rsid w:val="00926225"/>
    <w:rsid w:val="009264A5"/>
    <w:rsid w:val="00926941"/>
    <w:rsid w:val="00926D0A"/>
    <w:rsid w:val="00926E15"/>
    <w:rsid w:val="00927193"/>
    <w:rsid w:val="009303AB"/>
    <w:rsid w:val="00930606"/>
    <w:rsid w:val="009309BA"/>
    <w:rsid w:val="00930AF0"/>
    <w:rsid w:val="00931392"/>
    <w:rsid w:val="009328F8"/>
    <w:rsid w:val="00932B2F"/>
    <w:rsid w:val="0093318D"/>
    <w:rsid w:val="0093373F"/>
    <w:rsid w:val="00933F1A"/>
    <w:rsid w:val="00934135"/>
    <w:rsid w:val="00934292"/>
    <w:rsid w:val="0093455A"/>
    <w:rsid w:val="009346C5"/>
    <w:rsid w:val="00934DA6"/>
    <w:rsid w:val="00936085"/>
    <w:rsid w:val="00936427"/>
    <w:rsid w:val="00936767"/>
    <w:rsid w:val="00937781"/>
    <w:rsid w:val="009379ED"/>
    <w:rsid w:val="00937EB4"/>
    <w:rsid w:val="00940C65"/>
    <w:rsid w:val="00940F62"/>
    <w:rsid w:val="0094269E"/>
    <w:rsid w:val="009426AA"/>
    <w:rsid w:val="00942A29"/>
    <w:rsid w:val="00942CB5"/>
    <w:rsid w:val="009431CE"/>
    <w:rsid w:val="009432B9"/>
    <w:rsid w:val="0094351E"/>
    <w:rsid w:val="009436A4"/>
    <w:rsid w:val="00944B70"/>
    <w:rsid w:val="009451EF"/>
    <w:rsid w:val="009453F8"/>
    <w:rsid w:val="009455C6"/>
    <w:rsid w:val="00945965"/>
    <w:rsid w:val="009459F8"/>
    <w:rsid w:val="0094638D"/>
    <w:rsid w:val="00946560"/>
    <w:rsid w:val="00946D40"/>
    <w:rsid w:val="0094705F"/>
    <w:rsid w:val="009474DC"/>
    <w:rsid w:val="00947A96"/>
    <w:rsid w:val="00947BC7"/>
    <w:rsid w:val="009501B4"/>
    <w:rsid w:val="0095069C"/>
    <w:rsid w:val="00951BF0"/>
    <w:rsid w:val="00951D9D"/>
    <w:rsid w:val="00952995"/>
    <w:rsid w:val="009543AA"/>
    <w:rsid w:val="00954B6B"/>
    <w:rsid w:val="0095547D"/>
    <w:rsid w:val="009557AD"/>
    <w:rsid w:val="00955A24"/>
    <w:rsid w:val="00957086"/>
    <w:rsid w:val="009579C7"/>
    <w:rsid w:val="00957BCB"/>
    <w:rsid w:val="0095E8AE"/>
    <w:rsid w:val="00960593"/>
    <w:rsid w:val="00960950"/>
    <w:rsid w:val="00960C4A"/>
    <w:rsid w:val="00960CFC"/>
    <w:rsid w:val="00961B0C"/>
    <w:rsid w:val="009637ED"/>
    <w:rsid w:val="00964A75"/>
    <w:rsid w:val="00964AFA"/>
    <w:rsid w:val="009650EF"/>
    <w:rsid w:val="00965D86"/>
    <w:rsid w:val="00966D94"/>
    <w:rsid w:val="00967064"/>
    <w:rsid w:val="0096744F"/>
    <w:rsid w:val="00967458"/>
    <w:rsid w:val="00967CF9"/>
    <w:rsid w:val="00967DC0"/>
    <w:rsid w:val="0097073C"/>
    <w:rsid w:val="00970A33"/>
    <w:rsid w:val="00970B12"/>
    <w:rsid w:val="00970EFF"/>
    <w:rsid w:val="00971322"/>
    <w:rsid w:val="0097209D"/>
    <w:rsid w:val="009725F6"/>
    <w:rsid w:val="00972EC4"/>
    <w:rsid w:val="00973D61"/>
    <w:rsid w:val="00974405"/>
    <w:rsid w:val="00974E8E"/>
    <w:rsid w:val="00975BEE"/>
    <w:rsid w:val="00976B8C"/>
    <w:rsid w:val="00977069"/>
    <w:rsid w:val="0097727F"/>
    <w:rsid w:val="00977762"/>
    <w:rsid w:val="0097785A"/>
    <w:rsid w:val="009778B8"/>
    <w:rsid w:val="009804B4"/>
    <w:rsid w:val="009804E3"/>
    <w:rsid w:val="009807DD"/>
    <w:rsid w:val="009810E0"/>
    <w:rsid w:val="0098149F"/>
    <w:rsid w:val="009814BF"/>
    <w:rsid w:val="00981BF6"/>
    <w:rsid w:val="00981F11"/>
    <w:rsid w:val="00982270"/>
    <w:rsid w:val="00982DFB"/>
    <w:rsid w:val="00983B4E"/>
    <w:rsid w:val="00983B89"/>
    <w:rsid w:val="009847DB"/>
    <w:rsid w:val="00984F92"/>
    <w:rsid w:val="009865DB"/>
    <w:rsid w:val="009869C3"/>
    <w:rsid w:val="00986E2E"/>
    <w:rsid w:val="00986EC9"/>
    <w:rsid w:val="009876FF"/>
    <w:rsid w:val="0098795E"/>
    <w:rsid w:val="00987FBF"/>
    <w:rsid w:val="0098C065"/>
    <w:rsid w:val="00990516"/>
    <w:rsid w:val="00990948"/>
    <w:rsid w:val="009909AC"/>
    <w:rsid w:val="0099121B"/>
    <w:rsid w:val="0099141F"/>
    <w:rsid w:val="00991C3D"/>
    <w:rsid w:val="00991CB4"/>
    <w:rsid w:val="00992E8B"/>
    <w:rsid w:val="00992F9B"/>
    <w:rsid w:val="00993320"/>
    <w:rsid w:val="009937DD"/>
    <w:rsid w:val="00993B38"/>
    <w:rsid w:val="009943CD"/>
    <w:rsid w:val="00994697"/>
    <w:rsid w:val="009950CC"/>
    <w:rsid w:val="00995154"/>
    <w:rsid w:val="009957A8"/>
    <w:rsid w:val="0099585F"/>
    <w:rsid w:val="0099624B"/>
    <w:rsid w:val="0099696D"/>
    <w:rsid w:val="009969FE"/>
    <w:rsid w:val="00996B82"/>
    <w:rsid w:val="00997515"/>
    <w:rsid w:val="0099792C"/>
    <w:rsid w:val="00997989"/>
    <w:rsid w:val="00997A10"/>
    <w:rsid w:val="009A00F4"/>
    <w:rsid w:val="009A0159"/>
    <w:rsid w:val="009A0230"/>
    <w:rsid w:val="009A0882"/>
    <w:rsid w:val="009A0925"/>
    <w:rsid w:val="009A0B4C"/>
    <w:rsid w:val="009A12FF"/>
    <w:rsid w:val="009A180E"/>
    <w:rsid w:val="009A1828"/>
    <w:rsid w:val="009A1993"/>
    <w:rsid w:val="009A232C"/>
    <w:rsid w:val="009A27CE"/>
    <w:rsid w:val="009A29F9"/>
    <w:rsid w:val="009A2A8E"/>
    <w:rsid w:val="009A3E61"/>
    <w:rsid w:val="009A4570"/>
    <w:rsid w:val="009A48AA"/>
    <w:rsid w:val="009A4BF5"/>
    <w:rsid w:val="009A6565"/>
    <w:rsid w:val="009A66AD"/>
    <w:rsid w:val="009A6743"/>
    <w:rsid w:val="009A6E68"/>
    <w:rsid w:val="009A6EE6"/>
    <w:rsid w:val="009A719F"/>
    <w:rsid w:val="009AAC7E"/>
    <w:rsid w:val="009B0280"/>
    <w:rsid w:val="009B051E"/>
    <w:rsid w:val="009B0835"/>
    <w:rsid w:val="009B0F90"/>
    <w:rsid w:val="009B1329"/>
    <w:rsid w:val="009B239B"/>
    <w:rsid w:val="009B2611"/>
    <w:rsid w:val="009B300E"/>
    <w:rsid w:val="009B3482"/>
    <w:rsid w:val="009B3929"/>
    <w:rsid w:val="009B4537"/>
    <w:rsid w:val="009B48FE"/>
    <w:rsid w:val="009B4AB1"/>
    <w:rsid w:val="009B5299"/>
    <w:rsid w:val="009B5585"/>
    <w:rsid w:val="009B6823"/>
    <w:rsid w:val="009B7B16"/>
    <w:rsid w:val="009B7CFC"/>
    <w:rsid w:val="009C066F"/>
    <w:rsid w:val="009C07FF"/>
    <w:rsid w:val="009C08F7"/>
    <w:rsid w:val="009C13C3"/>
    <w:rsid w:val="009C13F5"/>
    <w:rsid w:val="009C1A09"/>
    <w:rsid w:val="009C25A8"/>
    <w:rsid w:val="009C3372"/>
    <w:rsid w:val="009C3B07"/>
    <w:rsid w:val="009C41D0"/>
    <w:rsid w:val="009C4D69"/>
    <w:rsid w:val="009C51C2"/>
    <w:rsid w:val="009C5606"/>
    <w:rsid w:val="009C573B"/>
    <w:rsid w:val="009C5F9A"/>
    <w:rsid w:val="009C6310"/>
    <w:rsid w:val="009C6E5A"/>
    <w:rsid w:val="009C7AE6"/>
    <w:rsid w:val="009C7BF2"/>
    <w:rsid w:val="009C7E78"/>
    <w:rsid w:val="009D0578"/>
    <w:rsid w:val="009D0F9F"/>
    <w:rsid w:val="009D11F5"/>
    <w:rsid w:val="009D1A91"/>
    <w:rsid w:val="009D1AD7"/>
    <w:rsid w:val="009D20D6"/>
    <w:rsid w:val="009D22DF"/>
    <w:rsid w:val="009D2732"/>
    <w:rsid w:val="009D33CF"/>
    <w:rsid w:val="009D3E43"/>
    <w:rsid w:val="009D3EB3"/>
    <w:rsid w:val="009D5288"/>
    <w:rsid w:val="009D58AD"/>
    <w:rsid w:val="009D5A52"/>
    <w:rsid w:val="009D5ECF"/>
    <w:rsid w:val="009D6380"/>
    <w:rsid w:val="009D64FA"/>
    <w:rsid w:val="009D65A4"/>
    <w:rsid w:val="009D6EBA"/>
    <w:rsid w:val="009D6F45"/>
    <w:rsid w:val="009D70E0"/>
    <w:rsid w:val="009D7B2C"/>
    <w:rsid w:val="009D7C49"/>
    <w:rsid w:val="009E04FD"/>
    <w:rsid w:val="009E079F"/>
    <w:rsid w:val="009E169E"/>
    <w:rsid w:val="009E1A4F"/>
    <w:rsid w:val="009E1BAD"/>
    <w:rsid w:val="009E1D84"/>
    <w:rsid w:val="009E257F"/>
    <w:rsid w:val="009E284C"/>
    <w:rsid w:val="009E4032"/>
    <w:rsid w:val="009E47A7"/>
    <w:rsid w:val="009E4B58"/>
    <w:rsid w:val="009E4E54"/>
    <w:rsid w:val="009E52E5"/>
    <w:rsid w:val="009E54EA"/>
    <w:rsid w:val="009E659B"/>
    <w:rsid w:val="009E7041"/>
    <w:rsid w:val="009E7337"/>
    <w:rsid w:val="009E7538"/>
    <w:rsid w:val="009E75CD"/>
    <w:rsid w:val="009E7EAD"/>
    <w:rsid w:val="009F05E5"/>
    <w:rsid w:val="009F0693"/>
    <w:rsid w:val="009F0703"/>
    <w:rsid w:val="009F0FDF"/>
    <w:rsid w:val="009F176C"/>
    <w:rsid w:val="009F1CBB"/>
    <w:rsid w:val="009F1DA2"/>
    <w:rsid w:val="009F2543"/>
    <w:rsid w:val="009F27CD"/>
    <w:rsid w:val="009F3088"/>
    <w:rsid w:val="009F32F0"/>
    <w:rsid w:val="009F369A"/>
    <w:rsid w:val="009F39EB"/>
    <w:rsid w:val="009F3C99"/>
    <w:rsid w:val="009F456E"/>
    <w:rsid w:val="009F48B8"/>
    <w:rsid w:val="009F4B58"/>
    <w:rsid w:val="009F518C"/>
    <w:rsid w:val="009F54D4"/>
    <w:rsid w:val="009F5656"/>
    <w:rsid w:val="009F5679"/>
    <w:rsid w:val="009F5A55"/>
    <w:rsid w:val="009F7A3A"/>
    <w:rsid w:val="009F7ADB"/>
    <w:rsid w:val="009F7D31"/>
    <w:rsid w:val="009F7F81"/>
    <w:rsid w:val="00A00318"/>
    <w:rsid w:val="00A01401"/>
    <w:rsid w:val="00A021BA"/>
    <w:rsid w:val="00A03075"/>
    <w:rsid w:val="00A04266"/>
    <w:rsid w:val="00A045A8"/>
    <w:rsid w:val="00A050A5"/>
    <w:rsid w:val="00A05377"/>
    <w:rsid w:val="00A05D91"/>
    <w:rsid w:val="00A06538"/>
    <w:rsid w:val="00A06581"/>
    <w:rsid w:val="00A06640"/>
    <w:rsid w:val="00A06E4E"/>
    <w:rsid w:val="00A07983"/>
    <w:rsid w:val="00A1013F"/>
    <w:rsid w:val="00A104B8"/>
    <w:rsid w:val="00A10C19"/>
    <w:rsid w:val="00A1223F"/>
    <w:rsid w:val="00A12FAA"/>
    <w:rsid w:val="00A13231"/>
    <w:rsid w:val="00A13C32"/>
    <w:rsid w:val="00A1407B"/>
    <w:rsid w:val="00A14BD1"/>
    <w:rsid w:val="00A14CDD"/>
    <w:rsid w:val="00A15224"/>
    <w:rsid w:val="00A15C72"/>
    <w:rsid w:val="00A15E6E"/>
    <w:rsid w:val="00A164EC"/>
    <w:rsid w:val="00A16A5C"/>
    <w:rsid w:val="00A16C42"/>
    <w:rsid w:val="00A17211"/>
    <w:rsid w:val="00A17275"/>
    <w:rsid w:val="00A172CC"/>
    <w:rsid w:val="00A174CF"/>
    <w:rsid w:val="00A17829"/>
    <w:rsid w:val="00A205C1"/>
    <w:rsid w:val="00A20832"/>
    <w:rsid w:val="00A209F8"/>
    <w:rsid w:val="00A21011"/>
    <w:rsid w:val="00A212F6"/>
    <w:rsid w:val="00A213DD"/>
    <w:rsid w:val="00A2142A"/>
    <w:rsid w:val="00A22650"/>
    <w:rsid w:val="00A22B66"/>
    <w:rsid w:val="00A22BA4"/>
    <w:rsid w:val="00A22F8E"/>
    <w:rsid w:val="00A23885"/>
    <w:rsid w:val="00A2388D"/>
    <w:rsid w:val="00A239E0"/>
    <w:rsid w:val="00A23B61"/>
    <w:rsid w:val="00A24186"/>
    <w:rsid w:val="00A24B8B"/>
    <w:rsid w:val="00A24BE0"/>
    <w:rsid w:val="00A2605E"/>
    <w:rsid w:val="00A26E09"/>
    <w:rsid w:val="00A2714A"/>
    <w:rsid w:val="00A274CE"/>
    <w:rsid w:val="00A27C2B"/>
    <w:rsid w:val="00A27F09"/>
    <w:rsid w:val="00A3060F"/>
    <w:rsid w:val="00A316E0"/>
    <w:rsid w:val="00A3189A"/>
    <w:rsid w:val="00A318F9"/>
    <w:rsid w:val="00A31F11"/>
    <w:rsid w:val="00A31F59"/>
    <w:rsid w:val="00A32936"/>
    <w:rsid w:val="00A32A57"/>
    <w:rsid w:val="00A335E4"/>
    <w:rsid w:val="00A33B87"/>
    <w:rsid w:val="00A343FC"/>
    <w:rsid w:val="00A348D3"/>
    <w:rsid w:val="00A34B91"/>
    <w:rsid w:val="00A34C88"/>
    <w:rsid w:val="00A34DCE"/>
    <w:rsid w:val="00A34E67"/>
    <w:rsid w:val="00A34F81"/>
    <w:rsid w:val="00A353AA"/>
    <w:rsid w:val="00A35531"/>
    <w:rsid w:val="00A365DA"/>
    <w:rsid w:val="00A367F2"/>
    <w:rsid w:val="00A36B2E"/>
    <w:rsid w:val="00A37664"/>
    <w:rsid w:val="00A4053B"/>
    <w:rsid w:val="00A40E27"/>
    <w:rsid w:val="00A40F3A"/>
    <w:rsid w:val="00A423B4"/>
    <w:rsid w:val="00A429E0"/>
    <w:rsid w:val="00A42B4B"/>
    <w:rsid w:val="00A42E35"/>
    <w:rsid w:val="00A43200"/>
    <w:rsid w:val="00A4320D"/>
    <w:rsid w:val="00A43967"/>
    <w:rsid w:val="00A43D3B"/>
    <w:rsid w:val="00A446F1"/>
    <w:rsid w:val="00A4483A"/>
    <w:rsid w:val="00A45263"/>
    <w:rsid w:val="00A4635E"/>
    <w:rsid w:val="00A46782"/>
    <w:rsid w:val="00A47979"/>
    <w:rsid w:val="00A479AA"/>
    <w:rsid w:val="00A47E8B"/>
    <w:rsid w:val="00A50351"/>
    <w:rsid w:val="00A51B47"/>
    <w:rsid w:val="00A531D4"/>
    <w:rsid w:val="00A5336F"/>
    <w:rsid w:val="00A53604"/>
    <w:rsid w:val="00A53764"/>
    <w:rsid w:val="00A537E1"/>
    <w:rsid w:val="00A53876"/>
    <w:rsid w:val="00A53E7D"/>
    <w:rsid w:val="00A54193"/>
    <w:rsid w:val="00A5566B"/>
    <w:rsid w:val="00A56BBD"/>
    <w:rsid w:val="00A57B7D"/>
    <w:rsid w:val="00A601D2"/>
    <w:rsid w:val="00A60366"/>
    <w:rsid w:val="00A60481"/>
    <w:rsid w:val="00A606AD"/>
    <w:rsid w:val="00A60A0B"/>
    <w:rsid w:val="00A6110A"/>
    <w:rsid w:val="00A61AC2"/>
    <w:rsid w:val="00A6228C"/>
    <w:rsid w:val="00A627CE"/>
    <w:rsid w:val="00A62A11"/>
    <w:rsid w:val="00A62A9E"/>
    <w:rsid w:val="00A63762"/>
    <w:rsid w:val="00A644D4"/>
    <w:rsid w:val="00A65476"/>
    <w:rsid w:val="00A65670"/>
    <w:rsid w:val="00A65911"/>
    <w:rsid w:val="00A66025"/>
    <w:rsid w:val="00A663CF"/>
    <w:rsid w:val="00A67C4B"/>
    <w:rsid w:val="00A70091"/>
    <w:rsid w:val="00A70B89"/>
    <w:rsid w:val="00A70EE5"/>
    <w:rsid w:val="00A71DFD"/>
    <w:rsid w:val="00A72507"/>
    <w:rsid w:val="00A732DF"/>
    <w:rsid w:val="00A73331"/>
    <w:rsid w:val="00A73494"/>
    <w:rsid w:val="00A73646"/>
    <w:rsid w:val="00A73A42"/>
    <w:rsid w:val="00A74157"/>
    <w:rsid w:val="00A74282"/>
    <w:rsid w:val="00A74F4A"/>
    <w:rsid w:val="00A75607"/>
    <w:rsid w:val="00A757ED"/>
    <w:rsid w:val="00A75AE0"/>
    <w:rsid w:val="00A75F79"/>
    <w:rsid w:val="00A76060"/>
    <w:rsid w:val="00A76850"/>
    <w:rsid w:val="00A76AD5"/>
    <w:rsid w:val="00A7737D"/>
    <w:rsid w:val="00A77C7C"/>
    <w:rsid w:val="00A80B53"/>
    <w:rsid w:val="00A80D6D"/>
    <w:rsid w:val="00A81215"/>
    <w:rsid w:val="00A82074"/>
    <w:rsid w:val="00A83370"/>
    <w:rsid w:val="00A834C6"/>
    <w:rsid w:val="00A835E6"/>
    <w:rsid w:val="00A838C1"/>
    <w:rsid w:val="00A83ECD"/>
    <w:rsid w:val="00A85EB2"/>
    <w:rsid w:val="00A85F1E"/>
    <w:rsid w:val="00A8618F"/>
    <w:rsid w:val="00A86D2A"/>
    <w:rsid w:val="00A87C32"/>
    <w:rsid w:val="00A9112F"/>
    <w:rsid w:val="00A91652"/>
    <w:rsid w:val="00A92798"/>
    <w:rsid w:val="00A92B51"/>
    <w:rsid w:val="00A9385C"/>
    <w:rsid w:val="00A942A3"/>
    <w:rsid w:val="00A950C1"/>
    <w:rsid w:val="00A95324"/>
    <w:rsid w:val="00A95952"/>
    <w:rsid w:val="00A95B93"/>
    <w:rsid w:val="00A95E56"/>
    <w:rsid w:val="00A95EE5"/>
    <w:rsid w:val="00A96678"/>
    <w:rsid w:val="00A96CD3"/>
    <w:rsid w:val="00A9736C"/>
    <w:rsid w:val="00A9742F"/>
    <w:rsid w:val="00A97B31"/>
    <w:rsid w:val="00A97E9C"/>
    <w:rsid w:val="00A97FF1"/>
    <w:rsid w:val="00AA0D40"/>
    <w:rsid w:val="00AA1743"/>
    <w:rsid w:val="00AA1994"/>
    <w:rsid w:val="00AA1ADA"/>
    <w:rsid w:val="00AA1B22"/>
    <w:rsid w:val="00AA1EFE"/>
    <w:rsid w:val="00AA218D"/>
    <w:rsid w:val="00AA2ED0"/>
    <w:rsid w:val="00AA30C0"/>
    <w:rsid w:val="00AA3417"/>
    <w:rsid w:val="00AA3A46"/>
    <w:rsid w:val="00AA427C"/>
    <w:rsid w:val="00AA4717"/>
    <w:rsid w:val="00AA4983"/>
    <w:rsid w:val="00AA4FF3"/>
    <w:rsid w:val="00AA5673"/>
    <w:rsid w:val="00AA5A21"/>
    <w:rsid w:val="00AA5A6D"/>
    <w:rsid w:val="00AA5B90"/>
    <w:rsid w:val="00AA5BFD"/>
    <w:rsid w:val="00AA60BB"/>
    <w:rsid w:val="00AA63BF"/>
    <w:rsid w:val="00AA68A2"/>
    <w:rsid w:val="00AA6F0E"/>
    <w:rsid w:val="00AA7691"/>
    <w:rsid w:val="00AA7710"/>
    <w:rsid w:val="00AA7AEC"/>
    <w:rsid w:val="00AB04AA"/>
    <w:rsid w:val="00AB06B7"/>
    <w:rsid w:val="00AB1412"/>
    <w:rsid w:val="00AB1838"/>
    <w:rsid w:val="00AB1956"/>
    <w:rsid w:val="00AB1A32"/>
    <w:rsid w:val="00AB2595"/>
    <w:rsid w:val="00AB2BC1"/>
    <w:rsid w:val="00AB39F8"/>
    <w:rsid w:val="00AB3A39"/>
    <w:rsid w:val="00AB3BC6"/>
    <w:rsid w:val="00AB460F"/>
    <w:rsid w:val="00AB653E"/>
    <w:rsid w:val="00AB7B83"/>
    <w:rsid w:val="00AB7C29"/>
    <w:rsid w:val="00AB7D9A"/>
    <w:rsid w:val="00AB7F2A"/>
    <w:rsid w:val="00AC031D"/>
    <w:rsid w:val="00AC05CC"/>
    <w:rsid w:val="00AC1062"/>
    <w:rsid w:val="00AC1509"/>
    <w:rsid w:val="00AC1818"/>
    <w:rsid w:val="00AC183B"/>
    <w:rsid w:val="00AC25F0"/>
    <w:rsid w:val="00AC2C9E"/>
    <w:rsid w:val="00AC2F19"/>
    <w:rsid w:val="00AC3051"/>
    <w:rsid w:val="00AC3777"/>
    <w:rsid w:val="00AC457F"/>
    <w:rsid w:val="00AC48D4"/>
    <w:rsid w:val="00AC4CF4"/>
    <w:rsid w:val="00AC4DCD"/>
    <w:rsid w:val="00AC5AF7"/>
    <w:rsid w:val="00AC61FB"/>
    <w:rsid w:val="00AC64E9"/>
    <w:rsid w:val="00AC6611"/>
    <w:rsid w:val="00AC6F7D"/>
    <w:rsid w:val="00AC6FE4"/>
    <w:rsid w:val="00AC775F"/>
    <w:rsid w:val="00AC7779"/>
    <w:rsid w:val="00AC79B8"/>
    <w:rsid w:val="00AC7A53"/>
    <w:rsid w:val="00AD0FE1"/>
    <w:rsid w:val="00AD104A"/>
    <w:rsid w:val="00AD1648"/>
    <w:rsid w:val="00AD2241"/>
    <w:rsid w:val="00AD2D61"/>
    <w:rsid w:val="00AD2E1E"/>
    <w:rsid w:val="00AD3483"/>
    <w:rsid w:val="00AD34ED"/>
    <w:rsid w:val="00AD3C89"/>
    <w:rsid w:val="00AD455B"/>
    <w:rsid w:val="00AD46A5"/>
    <w:rsid w:val="00AD4ED5"/>
    <w:rsid w:val="00AD5432"/>
    <w:rsid w:val="00AD5966"/>
    <w:rsid w:val="00AD59F6"/>
    <w:rsid w:val="00AD7EF3"/>
    <w:rsid w:val="00AE003B"/>
    <w:rsid w:val="00AE1560"/>
    <w:rsid w:val="00AE3BA9"/>
    <w:rsid w:val="00AE5703"/>
    <w:rsid w:val="00AE57C9"/>
    <w:rsid w:val="00AE64A7"/>
    <w:rsid w:val="00AE6AD4"/>
    <w:rsid w:val="00AE6CF7"/>
    <w:rsid w:val="00AE6E84"/>
    <w:rsid w:val="00AE7790"/>
    <w:rsid w:val="00AF03E7"/>
    <w:rsid w:val="00AF05EF"/>
    <w:rsid w:val="00AF1904"/>
    <w:rsid w:val="00AF36B6"/>
    <w:rsid w:val="00AF3ACA"/>
    <w:rsid w:val="00AF3E10"/>
    <w:rsid w:val="00AF4196"/>
    <w:rsid w:val="00AF5622"/>
    <w:rsid w:val="00AF6025"/>
    <w:rsid w:val="00AF62FC"/>
    <w:rsid w:val="00AF65A1"/>
    <w:rsid w:val="00AF689C"/>
    <w:rsid w:val="00AF6E23"/>
    <w:rsid w:val="00AF7055"/>
    <w:rsid w:val="00AF7155"/>
    <w:rsid w:val="00AF715D"/>
    <w:rsid w:val="00B00864"/>
    <w:rsid w:val="00B01089"/>
    <w:rsid w:val="00B01127"/>
    <w:rsid w:val="00B01880"/>
    <w:rsid w:val="00B02060"/>
    <w:rsid w:val="00B022A2"/>
    <w:rsid w:val="00B022C2"/>
    <w:rsid w:val="00B02D8D"/>
    <w:rsid w:val="00B030B5"/>
    <w:rsid w:val="00B03D61"/>
    <w:rsid w:val="00B048C6"/>
    <w:rsid w:val="00B04C47"/>
    <w:rsid w:val="00B06430"/>
    <w:rsid w:val="00B06920"/>
    <w:rsid w:val="00B06ED0"/>
    <w:rsid w:val="00B070D9"/>
    <w:rsid w:val="00B07589"/>
    <w:rsid w:val="00B07939"/>
    <w:rsid w:val="00B07AC8"/>
    <w:rsid w:val="00B10F2F"/>
    <w:rsid w:val="00B114A9"/>
    <w:rsid w:val="00B1223E"/>
    <w:rsid w:val="00B13328"/>
    <w:rsid w:val="00B1402F"/>
    <w:rsid w:val="00B14425"/>
    <w:rsid w:val="00B14597"/>
    <w:rsid w:val="00B14643"/>
    <w:rsid w:val="00B14B3B"/>
    <w:rsid w:val="00B15123"/>
    <w:rsid w:val="00B15685"/>
    <w:rsid w:val="00B15F84"/>
    <w:rsid w:val="00B16864"/>
    <w:rsid w:val="00B169FB"/>
    <w:rsid w:val="00B16C29"/>
    <w:rsid w:val="00B1740D"/>
    <w:rsid w:val="00B17935"/>
    <w:rsid w:val="00B17C25"/>
    <w:rsid w:val="00B1F97B"/>
    <w:rsid w:val="00B2046C"/>
    <w:rsid w:val="00B20E3F"/>
    <w:rsid w:val="00B213FC"/>
    <w:rsid w:val="00B21674"/>
    <w:rsid w:val="00B229D0"/>
    <w:rsid w:val="00B23158"/>
    <w:rsid w:val="00B2330B"/>
    <w:rsid w:val="00B23A94"/>
    <w:rsid w:val="00B24F20"/>
    <w:rsid w:val="00B25491"/>
    <w:rsid w:val="00B2624B"/>
    <w:rsid w:val="00B26E2D"/>
    <w:rsid w:val="00B27D4C"/>
    <w:rsid w:val="00B30192"/>
    <w:rsid w:val="00B306D0"/>
    <w:rsid w:val="00B30AE3"/>
    <w:rsid w:val="00B315BA"/>
    <w:rsid w:val="00B3214C"/>
    <w:rsid w:val="00B32194"/>
    <w:rsid w:val="00B3289E"/>
    <w:rsid w:val="00B32B5E"/>
    <w:rsid w:val="00B32F2B"/>
    <w:rsid w:val="00B3333B"/>
    <w:rsid w:val="00B33BE2"/>
    <w:rsid w:val="00B34140"/>
    <w:rsid w:val="00B3423B"/>
    <w:rsid w:val="00B342D0"/>
    <w:rsid w:val="00B342E7"/>
    <w:rsid w:val="00B34D20"/>
    <w:rsid w:val="00B354D1"/>
    <w:rsid w:val="00B35A2F"/>
    <w:rsid w:val="00B365A1"/>
    <w:rsid w:val="00B373BB"/>
    <w:rsid w:val="00B379DA"/>
    <w:rsid w:val="00B403AA"/>
    <w:rsid w:val="00B41499"/>
    <w:rsid w:val="00B4164F"/>
    <w:rsid w:val="00B41A8C"/>
    <w:rsid w:val="00B41C2B"/>
    <w:rsid w:val="00B41CE5"/>
    <w:rsid w:val="00B43056"/>
    <w:rsid w:val="00B43179"/>
    <w:rsid w:val="00B44AD9"/>
    <w:rsid w:val="00B45116"/>
    <w:rsid w:val="00B452A4"/>
    <w:rsid w:val="00B455EE"/>
    <w:rsid w:val="00B45910"/>
    <w:rsid w:val="00B45A05"/>
    <w:rsid w:val="00B45B0F"/>
    <w:rsid w:val="00B460EA"/>
    <w:rsid w:val="00B46198"/>
    <w:rsid w:val="00B468FE"/>
    <w:rsid w:val="00B46E6F"/>
    <w:rsid w:val="00B46EA1"/>
    <w:rsid w:val="00B4711D"/>
    <w:rsid w:val="00B473CF"/>
    <w:rsid w:val="00B473D8"/>
    <w:rsid w:val="00B4781F"/>
    <w:rsid w:val="00B47B56"/>
    <w:rsid w:val="00B47B85"/>
    <w:rsid w:val="00B47BD1"/>
    <w:rsid w:val="00B502DD"/>
    <w:rsid w:val="00B509C0"/>
    <w:rsid w:val="00B50DDB"/>
    <w:rsid w:val="00B5165A"/>
    <w:rsid w:val="00B51718"/>
    <w:rsid w:val="00B51A3F"/>
    <w:rsid w:val="00B52367"/>
    <w:rsid w:val="00B529C4"/>
    <w:rsid w:val="00B530BF"/>
    <w:rsid w:val="00B536B5"/>
    <w:rsid w:val="00B53B1C"/>
    <w:rsid w:val="00B54850"/>
    <w:rsid w:val="00B5571B"/>
    <w:rsid w:val="00B55875"/>
    <w:rsid w:val="00B55922"/>
    <w:rsid w:val="00B55CB1"/>
    <w:rsid w:val="00B55D2F"/>
    <w:rsid w:val="00B55E77"/>
    <w:rsid w:val="00B56F4B"/>
    <w:rsid w:val="00B57164"/>
    <w:rsid w:val="00B5762A"/>
    <w:rsid w:val="00B57B0B"/>
    <w:rsid w:val="00B60AD0"/>
    <w:rsid w:val="00B62045"/>
    <w:rsid w:val="00B6205D"/>
    <w:rsid w:val="00B6257F"/>
    <w:rsid w:val="00B62FCC"/>
    <w:rsid w:val="00B632EE"/>
    <w:rsid w:val="00B63377"/>
    <w:rsid w:val="00B63EDA"/>
    <w:rsid w:val="00B654EA"/>
    <w:rsid w:val="00B65893"/>
    <w:rsid w:val="00B668DF"/>
    <w:rsid w:val="00B66B14"/>
    <w:rsid w:val="00B67527"/>
    <w:rsid w:val="00B6798E"/>
    <w:rsid w:val="00B67ADA"/>
    <w:rsid w:val="00B67FA0"/>
    <w:rsid w:val="00B70C51"/>
    <w:rsid w:val="00B71D8C"/>
    <w:rsid w:val="00B72FD7"/>
    <w:rsid w:val="00B73C94"/>
    <w:rsid w:val="00B73FE3"/>
    <w:rsid w:val="00B74654"/>
    <w:rsid w:val="00B747D0"/>
    <w:rsid w:val="00B74B28"/>
    <w:rsid w:val="00B754D3"/>
    <w:rsid w:val="00B75B4F"/>
    <w:rsid w:val="00B75D2A"/>
    <w:rsid w:val="00B761AC"/>
    <w:rsid w:val="00B76A05"/>
    <w:rsid w:val="00B76EA3"/>
    <w:rsid w:val="00B77161"/>
    <w:rsid w:val="00B77360"/>
    <w:rsid w:val="00B779A5"/>
    <w:rsid w:val="00B77AF3"/>
    <w:rsid w:val="00B803E8"/>
    <w:rsid w:val="00B80617"/>
    <w:rsid w:val="00B80976"/>
    <w:rsid w:val="00B80CDE"/>
    <w:rsid w:val="00B8103F"/>
    <w:rsid w:val="00B8174E"/>
    <w:rsid w:val="00B821B0"/>
    <w:rsid w:val="00B831B8"/>
    <w:rsid w:val="00B83332"/>
    <w:rsid w:val="00B8428A"/>
    <w:rsid w:val="00B84AAE"/>
    <w:rsid w:val="00B84C96"/>
    <w:rsid w:val="00B85F4F"/>
    <w:rsid w:val="00B85F57"/>
    <w:rsid w:val="00B86124"/>
    <w:rsid w:val="00B87859"/>
    <w:rsid w:val="00B87D67"/>
    <w:rsid w:val="00B904FA"/>
    <w:rsid w:val="00B90672"/>
    <w:rsid w:val="00B90FD5"/>
    <w:rsid w:val="00B910A6"/>
    <w:rsid w:val="00B9136C"/>
    <w:rsid w:val="00B9165C"/>
    <w:rsid w:val="00B916F1"/>
    <w:rsid w:val="00B91A90"/>
    <w:rsid w:val="00B91FC2"/>
    <w:rsid w:val="00B930CF"/>
    <w:rsid w:val="00B933AF"/>
    <w:rsid w:val="00B935CB"/>
    <w:rsid w:val="00B93B6E"/>
    <w:rsid w:val="00B93CAC"/>
    <w:rsid w:val="00B93DCE"/>
    <w:rsid w:val="00B9462F"/>
    <w:rsid w:val="00B9478E"/>
    <w:rsid w:val="00B94D73"/>
    <w:rsid w:val="00B95678"/>
    <w:rsid w:val="00B95827"/>
    <w:rsid w:val="00B95DBB"/>
    <w:rsid w:val="00B96B14"/>
    <w:rsid w:val="00BA067A"/>
    <w:rsid w:val="00BA0A9B"/>
    <w:rsid w:val="00BA0EB3"/>
    <w:rsid w:val="00BA1DC7"/>
    <w:rsid w:val="00BA1FE3"/>
    <w:rsid w:val="00BA240D"/>
    <w:rsid w:val="00BA2AF5"/>
    <w:rsid w:val="00BA2B62"/>
    <w:rsid w:val="00BA35DD"/>
    <w:rsid w:val="00BA37F1"/>
    <w:rsid w:val="00BA38B5"/>
    <w:rsid w:val="00BA3F8C"/>
    <w:rsid w:val="00BA4025"/>
    <w:rsid w:val="00BA403F"/>
    <w:rsid w:val="00BA4380"/>
    <w:rsid w:val="00BA4573"/>
    <w:rsid w:val="00BA4E03"/>
    <w:rsid w:val="00BA4E1C"/>
    <w:rsid w:val="00BA4FF2"/>
    <w:rsid w:val="00BA51BA"/>
    <w:rsid w:val="00BA5C85"/>
    <w:rsid w:val="00BA5D7D"/>
    <w:rsid w:val="00BA639B"/>
    <w:rsid w:val="00BA7A48"/>
    <w:rsid w:val="00BA7CF3"/>
    <w:rsid w:val="00BB04FA"/>
    <w:rsid w:val="00BB0C72"/>
    <w:rsid w:val="00BB10AD"/>
    <w:rsid w:val="00BB1761"/>
    <w:rsid w:val="00BB17EF"/>
    <w:rsid w:val="00BB1FBD"/>
    <w:rsid w:val="00BB21CF"/>
    <w:rsid w:val="00BB2E1B"/>
    <w:rsid w:val="00BB3C00"/>
    <w:rsid w:val="00BB3F3C"/>
    <w:rsid w:val="00BB48E3"/>
    <w:rsid w:val="00BB57AE"/>
    <w:rsid w:val="00BB6405"/>
    <w:rsid w:val="00BB664B"/>
    <w:rsid w:val="00BB6E66"/>
    <w:rsid w:val="00BB6F60"/>
    <w:rsid w:val="00BB708E"/>
    <w:rsid w:val="00BB721F"/>
    <w:rsid w:val="00BC006D"/>
    <w:rsid w:val="00BC0897"/>
    <w:rsid w:val="00BC0A59"/>
    <w:rsid w:val="00BC132E"/>
    <w:rsid w:val="00BC2683"/>
    <w:rsid w:val="00BC322C"/>
    <w:rsid w:val="00BC3B59"/>
    <w:rsid w:val="00BC3CF8"/>
    <w:rsid w:val="00BC3D4A"/>
    <w:rsid w:val="00BC484D"/>
    <w:rsid w:val="00BC524B"/>
    <w:rsid w:val="00BC5814"/>
    <w:rsid w:val="00BC5960"/>
    <w:rsid w:val="00BC61C5"/>
    <w:rsid w:val="00BC7351"/>
    <w:rsid w:val="00BC774F"/>
    <w:rsid w:val="00BC77E3"/>
    <w:rsid w:val="00BC7D02"/>
    <w:rsid w:val="00BC7DD0"/>
    <w:rsid w:val="00BD0796"/>
    <w:rsid w:val="00BD0D67"/>
    <w:rsid w:val="00BD1159"/>
    <w:rsid w:val="00BD2056"/>
    <w:rsid w:val="00BD2618"/>
    <w:rsid w:val="00BD2655"/>
    <w:rsid w:val="00BD32F9"/>
    <w:rsid w:val="00BD4147"/>
    <w:rsid w:val="00BD4CD4"/>
    <w:rsid w:val="00BD5B75"/>
    <w:rsid w:val="00BD5CD4"/>
    <w:rsid w:val="00BD6253"/>
    <w:rsid w:val="00BD6408"/>
    <w:rsid w:val="00BD735C"/>
    <w:rsid w:val="00BD7661"/>
    <w:rsid w:val="00BD781A"/>
    <w:rsid w:val="00BD7B4D"/>
    <w:rsid w:val="00BD80AC"/>
    <w:rsid w:val="00BE2119"/>
    <w:rsid w:val="00BE26B1"/>
    <w:rsid w:val="00BE28B4"/>
    <w:rsid w:val="00BE2944"/>
    <w:rsid w:val="00BE29AD"/>
    <w:rsid w:val="00BE3203"/>
    <w:rsid w:val="00BE3335"/>
    <w:rsid w:val="00BE33D9"/>
    <w:rsid w:val="00BE3651"/>
    <w:rsid w:val="00BE4426"/>
    <w:rsid w:val="00BE5D3C"/>
    <w:rsid w:val="00BE5D44"/>
    <w:rsid w:val="00BE5E53"/>
    <w:rsid w:val="00BE60D3"/>
    <w:rsid w:val="00BE60F8"/>
    <w:rsid w:val="00BE7369"/>
    <w:rsid w:val="00BF0369"/>
    <w:rsid w:val="00BF12C0"/>
    <w:rsid w:val="00BF23AE"/>
    <w:rsid w:val="00BF24B1"/>
    <w:rsid w:val="00BF28B0"/>
    <w:rsid w:val="00BF3083"/>
    <w:rsid w:val="00BF3178"/>
    <w:rsid w:val="00BF342A"/>
    <w:rsid w:val="00BF3C9F"/>
    <w:rsid w:val="00BF3D39"/>
    <w:rsid w:val="00BF44F6"/>
    <w:rsid w:val="00BF45BF"/>
    <w:rsid w:val="00BF4647"/>
    <w:rsid w:val="00BF4D34"/>
    <w:rsid w:val="00BF4DE5"/>
    <w:rsid w:val="00BF4F85"/>
    <w:rsid w:val="00BF502F"/>
    <w:rsid w:val="00BF582F"/>
    <w:rsid w:val="00BF6017"/>
    <w:rsid w:val="00BF6E2C"/>
    <w:rsid w:val="00BF6EBD"/>
    <w:rsid w:val="00BF732F"/>
    <w:rsid w:val="00BF740A"/>
    <w:rsid w:val="00BF773C"/>
    <w:rsid w:val="00C003AC"/>
    <w:rsid w:val="00C01400"/>
    <w:rsid w:val="00C03231"/>
    <w:rsid w:val="00C032CC"/>
    <w:rsid w:val="00C038D5"/>
    <w:rsid w:val="00C04011"/>
    <w:rsid w:val="00C04277"/>
    <w:rsid w:val="00C043D9"/>
    <w:rsid w:val="00C056AA"/>
    <w:rsid w:val="00C0597B"/>
    <w:rsid w:val="00C059B3"/>
    <w:rsid w:val="00C0610E"/>
    <w:rsid w:val="00C07A88"/>
    <w:rsid w:val="00C10686"/>
    <w:rsid w:val="00C109F7"/>
    <w:rsid w:val="00C11247"/>
    <w:rsid w:val="00C11324"/>
    <w:rsid w:val="00C1199F"/>
    <w:rsid w:val="00C11A1E"/>
    <w:rsid w:val="00C11EAF"/>
    <w:rsid w:val="00C120DD"/>
    <w:rsid w:val="00C1225D"/>
    <w:rsid w:val="00C128E5"/>
    <w:rsid w:val="00C1304B"/>
    <w:rsid w:val="00C1374D"/>
    <w:rsid w:val="00C15415"/>
    <w:rsid w:val="00C15519"/>
    <w:rsid w:val="00C15847"/>
    <w:rsid w:val="00C166F0"/>
    <w:rsid w:val="00C168AC"/>
    <w:rsid w:val="00C17E90"/>
    <w:rsid w:val="00C20F15"/>
    <w:rsid w:val="00C210DC"/>
    <w:rsid w:val="00C211FB"/>
    <w:rsid w:val="00C2220C"/>
    <w:rsid w:val="00C23FB9"/>
    <w:rsid w:val="00C23FD1"/>
    <w:rsid w:val="00C249D7"/>
    <w:rsid w:val="00C24AD8"/>
    <w:rsid w:val="00C2516C"/>
    <w:rsid w:val="00C25AE4"/>
    <w:rsid w:val="00C266F7"/>
    <w:rsid w:val="00C267C2"/>
    <w:rsid w:val="00C26971"/>
    <w:rsid w:val="00C271D4"/>
    <w:rsid w:val="00C2798A"/>
    <w:rsid w:val="00C27A19"/>
    <w:rsid w:val="00C27F70"/>
    <w:rsid w:val="00C30709"/>
    <w:rsid w:val="00C3242A"/>
    <w:rsid w:val="00C32CE8"/>
    <w:rsid w:val="00C32DBA"/>
    <w:rsid w:val="00C335F5"/>
    <w:rsid w:val="00C33B90"/>
    <w:rsid w:val="00C34104"/>
    <w:rsid w:val="00C34491"/>
    <w:rsid w:val="00C34AA7"/>
    <w:rsid w:val="00C3543E"/>
    <w:rsid w:val="00C35B79"/>
    <w:rsid w:val="00C36072"/>
    <w:rsid w:val="00C3706C"/>
    <w:rsid w:val="00C371B0"/>
    <w:rsid w:val="00C37D33"/>
    <w:rsid w:val="00C37E5A"/>
    <w:rsid w:val="00C405ED"/>
    <w:rsid w:val="00C40A13"/>
    <w:rsid w:val="00C40D68"/>
    <w:rsid w:val="00C414BB"/>
    <w:rsid w:val="00C42830"/>
    <w:rsid w:val="00C431CE"/>
    <w:rsid w:val="00C432E4"/>
    <w:rsid w:val="00C433ED"/>
    <w:rsid w:val="00C43F73"/>
    <w:rsid w:val="00C440B4"/>
    <w:rsid w:val="00C45146"/>
    <w:rsid w:val="00C45AD4"/>
    <w:rsid w:val="00C46036"/>
    <w:rsid w:val="00C46752"/>
    <w:rsid w:val="00C46AD9"/>
    <w:rsid w:val="00C4796A"/>
    <w:rsid w:val="00C479B3"/>
    <w:rsid w:val="00C47CB2"/>
    <w:rsid w:val="00C50551"/>
    <w:rsid w:val="00C50820"/>
    <w:rsid w:val="00C51698"/>
    <w:rsid w:val="00C52E29"/>
    <w:rsid w:val="00C53502"/>
    <w:rsid w:val="00C53C40"/>
    <w:rsid w:val="00C53CD2"/>
    <w:rsid w:val="00C5406B"/>
    <w:rsid w:val="00C547E5"/>
    <w:rsid w:val="00C54828"/>
    <w:rsid w:val="00C54D68"/>
    <w:rsid w:val="00C54FCB"/>
    <w:rsid w:val="00C55297"/>
    <w:rsid w:val="00C555FF"/>
    <w:rsid w:val="00C561CE"/>
    <w:rsid w:val="00C56770"/>
    <w:rsid w:val="00C56D3B"/>
    <w:rsid w:val="00C56D89"/>
    <w:rsid w:val="00C56D9E"/>
    <w:rsid w:val="00C56FE6"/>
    <w:rsid w:val="00C579B3"/>
    <w:rsid w:val="00C57A28"/>
    <w:rsid w:val="00C600CD"/>
    <w:rsid w:val="00C602C7"/>
    <w:rsid w:val="00C6138E"/>
    <w:rsid w:val="00C613BA"/>
    <w:rsid w:val="00C62921"/>
    <w:rsid w:val="00C629D1"/>
    <w:rsid w:val="00C62B19"/>
    <w:rsid w:val="00C633FE"/>
    <w:rsid w:val="00C637E2"/>
    <w:rsid w:val="00C6381F"/>
    <w:rsid w:val="00C64324"/>
    <w:rsid w:val="00C65323"/>
    <w:rsid w:val="00C653BA"/>
    <w:rsid w:val="00C655B8"/>
    <w:rsid w:val="00C65616"/>
    <w:rsid w:val="00C6584E"/>
    <w:rsid w:val="00C659F0"/>
    <w:rsid w:val="00C668BA"/>
    <w:rsid w:val="00C670E7"/>
    <w:rsid w:val="00C71245"/>
    <w:rsid w:val="00C736F9"/>
    <w:rsid w:val="00C73AE1"/>
    <w:rsid w:val="00C73FFA"/>
    <w:rsid w:val="00C7479D"/>
    <w:rsid w:val="00C74B53"/>
    <w:rsid w:val="00C752E2"/>
    <w:rsid w:val="00C75380"/>
    <w:rsid w:val="00C753C6"/>
    <w:rsid w:val="00C757A3"/>
    <w:rsid w:val="00C774A8"/>
    <w:rsid w:val="00C77D4E"/>
    <w:rsid w:val="00C805FC"/>
    <w:rsid w:val="00C81DE1"/>
    <w:rsid w:val="00C827ED"/>
    <w:rsid w:val="00C82D6A"/>
    <w:rsid w:val="00C8300B"/>
    <w:rsid w:val="00C832A6"/>
    <w:rsid w:val="00C833A7"/>
    <w:rsid w:val="00C834D8"/>
    <w:rsid w:val="00C83E11"/>
    <w:rsid w:val="00C846A6"/>
    <w:rsid w:val="00C84DBB"/>
    <w:rsid w:val="00C84E8E"/>
    <w:rsid w:val="00C8566B"/>
    <w:rsid w:val="00C85C1C"/>
    <w:rsid w:val="00C873A5"/>
    <w:rsid w:val="00C87E3E"/>
    <w:rsid w:val="00C87E50"/>
    <w:rsid w:val="00C900C4"/>
    <w:rsid w:val="00C91014"/>
    <w:rsid w:val="00C9193C"/>
    <w:rsid w:val="00C92624"/>
    <w:rsid w:val="00C92769"/>
    <w:rsid w:val="00C92F41"/>
    <w:rsid w:val="00C93851"/>
    <w:rsid w:val="00C94517"/>
    <w:rsid w:val="00C94DB7"/>
    <w:rsid w:val="00C9530B"/>
    <w:rsid w:val="00C95F88"/>
    <w:rsid w:val="00C96270"/>
    <w:rsid w:val="00CA0429"/>
    <w:rsid w:val="00CA06C6"/>
    <w:rsid w:val="00CA06F6"/>
    <w:rsid w:val="00CA0D39"/>
    <w:rsid w:val="00CA2902"/>
    <w:rsid w:val="00CA2DA8"/>
    <w:rsid w:val="00CA3881"/>
    <w:rsid w:val="00CA3970"/>
    <w:rsid w:val="00CA47D2"/>
    <w:rsid w:val="00CA5280"/>
    <w:rsid w:val="00CA678A"/>
    <w:rsid w:val="00CA6D1B"/>
    <w:rsid w:val="00CA6E07"/>
    <w:rsid w:val="00CA7E53"/>
    <w:rsid w:val="00CB1234"/>
    <w:rsid w:val="00CB144E"/>
    <w:rsid w:val="00CB148D"/>
    <w:rsid w:val="00CB32D6"/>
    <w:rsid w:val="00CB3CED"/>
    <w:rsid w:val="00CB3EE2"/>
    <w:rsid w:val="00CB46AB"/>
    <w:rsid w:val="00CB4B50"/>
    <w:rsid w:val="00CB5DAC"/>
    <w:rsid w:val="00CB5FBD"/>
    <w:rsid w:val="00CB6910"/>
    <w:rsid w:val="00CB6B5D"/>
    <w:rsid w:val="00CB74CB"/>
    <w:rsid w:val="00CB790C"/>
    <w:rsid w:val="00CC0935"/>
    <w:rsid w:val="00CC1763"/>
    <w:rsid w:val="00CC1D7F"/>
    <w:rsid w:val="00CC2CCA"/>
    <w:rsid w:val="00CC3247"/>
    <w:rsid w:val="00CC3CF7"/>
    <w:rsid w:val="00CC4C19"/>
    <w:rsid w:val="00CC5055"/>
    <w:rsid w:val="00CC50E4"/>
    <w:rsid w:val="00CC54C6"/>
    <w:rsid w:val="00CC5FEF"/>
    <w:rsid w:val="00CC68B8"/>
    <w:rsid w:val="00CC73E0"/>
    <w:rsid w:val="00CC73FF"/>
    <w:rsid w:val="00CD0E2E"/>
    <w:rsid w:val="00CD1038"/>
    <w:rsid w:val="00CD12B2"/>
    <w:rsid w:val="00CD18BD"/>
    <w:rsid w:val="00CD19BD"/>
    <w:rsid w:val="00CD27B2"/>
    <w:rsid w:val="00CD41D6"/>
    <w:rsid w:val="00CD4C14"/>
    <w:rsid w:val="00CD512E"/>
    <w:rsid w:val="00CD55F1"/>
    <w:rsid w:val="00CD5853"/>
    <w:rsid w:val="00CD59BF"/>
    <w:rsid w:val="00CD5BDB"/>
    <w:rsid w:val="00CD6F40"/>
    <w:rsid w:val="00CD7194"/>
    <w:rsid w:val="00CD7A3D"/>
    <w:rsid w:val="00CD7C8E"/>
    <w:rsid w:val="00CD7CAA"/>
    <w:rsid w:val="00CD7F75"/>
    <w:rsid w:val="00CE00C7"/>
    <w:rsid w:val="00CE26E1"/>
    <w:rsid w:val="00CE2AEB"/>
    <w:rsid w:val="00CE3847"/>
    <w:rsid w:val="00CE3ECD"/>
    <w:rsid w:val="00CE43C3"/>
    <w:rsid w:val="00CE52A5"/>
    <w:rsid w:val="00CE52F7"/>
    <w:rsid w:val="00CE5681"/>
    <w:rsid w:val="00CE5BA8"/>
    <w:rsid w:val="00CE6A6E"/>
    <w:rsid w:val="00CE6B2D"/>
    <w:rsid w:val="00CE721F"/>
    <w:rsid w:val="00CE748A"/>
    <w:rsid w:val="00CE7E5D"/>
    <w:rsid w:val="00CEE499"/>
    <w:rsid w:val="00CF03AB"/>
    <w:rsid w:val="00CF10CD"/>
    <w:rsid w:val="00CF12A3"/>
    <w:rsid w:val="00CF15BB"/>
    <w:rsid w:val="00CF1765"/>
    <w:rsid w:val="00CF2865"/>
    <w:rsid w:val="00CF3E2D"/>
    <w:rsid w:val="00CF5A08"/>
    <w:rsid w:val="00CF6304"/>
    <w:rsid w:val="00CF678A"/>
    <w:rsid w:val="00CF67D4"/>
    <w:rsid w:val="00CF69BA"/>
    <w:rsid w:val="00CF6A28"/>
    <w:rsid w:val="00CF7D34"/>
    <w:rsid w:val="00D008AF"/>
    <w:rsid w:val="00D00D5B"/>
    <w:rsid w:val="00D012F8"/>
    <w:rsid w:val="00D01FA1"/>
    <w:rsid w:val="00D01FF0"/>
    <w:rsid w:val="00D02309"/>
    <w:rsid w:val="00D02672"/>
    <w:rsid w:val="00D03AD0"/>
    <w:rsid w:val="00D03BF7"/>
    <w:rsid w:val="00D041CD"/>
    <w:rsid w:val="00D044AB"/>
    <w:rsid w:val="00D04DE0"/>
    <w:rsid w:val="00D051FA"/>
    <w:rsid w:val="00D05EA5"/>
    <w:rsid w:val="00D06A00"/>
    <w:rsid w:val="00D11076"/>
    <w:rsid w:val="00D11508"/>
    <w:rsid w:val="00D12568"/>
    <w:rsid w:val="00D127FE"/>
    <w:rsid w:val="00D1290A"/>
    <w:rsid w:val="00D12B25"/>
    <w:rsid w:val="00D13EE7"/>
    <w:rsid w:val="00D16141"/>
    <w:rsid w:val="00D16AFF"/>
    <w:rsid w:val="00D16C75"/>
    <w:rsid w:val="00D16CC4"/>
    <w:rsid w:val="00D173F1"/>
    <w:rsid w:val="00D174A1"/>
    <w:rsid w:val="00D17DE4"/>
    <w:rsid w:val="00D2001D"/>
    <w:rsid w:val="00D20078"/>
    <w:rsid w:val="00D2083F"/>
    <w:rsid w:val="00D209F2"/>
    <w:rsid w:val="00D20BD8"/>
    <w:rsid w:val="00D20E3D"/>
    <w:rsid w:val="00D210F6"/>
    <w:rsid w:val="00D21923"/>
    <w:rsid w:val="00D22638"/>
    <w:rsid w:val="00D22A42"/>
    <w:rsid w:val="00D23042"/>
    <w:rsid w:val="00D23E16"/>
    <w:rsid w:val="00D2413F"/>
    <w:rsid w:val="00D24332"/>
    <w:rsid w:val="00D24368"/>
    <w:rsid w:val="00D2468B"/>
    <w:rsid w:val="00D2479B"/>
    <w:rsid w:val="00D24C49"/>
    <w:rsid w:val="00D25305"/>
    <w:rsid w:val="00D25374"/>
    <w:rsid w:val="00D25B2D"/>
    <w:rsid w:val="00D26848"/>
    <w:rsid w:val="00D27980"/>
    <w:rsid w:val="00D27F64"/>
    <w:rsid w:val="00D3052D"/>
    <w:rsid w:val="00D30644"/>
    <w:rsid w:val="00D31294"/>
    <w:rsid w:val="00D32317"/>
    <w:rsid w:val="00D32713"/>
    <w:rsid w:val="00D3271C"/>
    <w:rsid w:val="00D327F9"/>
    <w:rsid w:val="00D32B0B"/>
    <w:rsid w:val="00D333B4"/>
    <w:rsid w:val="00D33FA4"/>
    <w:rsid w:val="00D34AEB"/>
    <w:rsid w:val="00D353D7"/>
    <w:rsid w:val="00D35477"/>
    <w:rsid w:val="00D35821"/>
    <w:rsid w:val="00D35DB6"/>
    <w:rsid w:val="00D35F82"/>
    <w:rsid w:val="00D3684E"/>
    <w:rsid w:val="00D36ACD"/>
    <w:rsid w:val="00D36C71"/>
    <w:rsid w:val="00D37EF3"/>
    <w:rsid w:val="00D39551"/>
    <w:rsid w:val="00D40DBA"/>
    <w:rsid w:val="00D41112"/>
    <w:rsid w:val="00D411ED"/>
    <w:rsid w:val="00D4189B"/>
    <w:rsid w:val="00D41E67"/>
    <w:rsid w:val="00D422E9"/>
    <w:rsid w:val="00D42CF9"/>
    <w:rsid w:val="00D43308"/>
    <w:rsid w:val="00D4331A"/>
    <w:rsid w:val="00D43DCB"/>
    <w:rsid w:val="00D44D4A"/>
    <w:rsid w:val="00D45055"/>
    <w:rsid w:val="00D4516E"/>
    <w:rsid w:val="00D45297"/>
    <w:rsid w:val="00D455AC"/>
    <w:rsid w:val="00D459FA"/>
    <w:rsid w:val="00D45A23"/>
    <w:rsid w:val="00D45A57"/>
    <w:rsid w:val="00D45BD6"/>
    <w:rsid w:val="00D4631A"/>
    <w:rsid w:val="00D46AEE"/>
    <w:rsid w:val="00D46EEB"/>
    <w:rsid w:val="00D475B8"/>
    <w:rsid w:val="00D477EA"/>
    <w:rsid w:val="00D47A1B"/>
    <w:rsid w:val="00D47D67"/>
    <w:rsid w:val="00D500F2"/>
    <w:rsid w:val="00D50ACA"/>
    <w:rsid w:val="00D52136"/>
    <w:rsid w:val="00D52474"/>
    <w:rsid w:val="00D528FE"/>
    <w:rsid w:val="00D5320C"/>
    <w:rsid w:val="00D541C3"/>
    <w:rsid w:val="00D5468E"/>
    <w:rsid w:val="00D54C2F"/>
    <w:rsid w:val="00D54C3C"/>
    <w:rsid w:val="00D54D33"/>
    <w:rsid w:val="00D553B5"/>
    <w:rsid w:val="00D55693"/>
    <w:rsid w:val="00D55D6D"/>
    <w:rsid w:val="00D56A04"/>
    <w:rsid w:val="00D56DC0"/>
    <w:rsid w:val="00D5718C"/>
    <w:rsid w:val="00D6000C"/>
    <w:rsid w:val="00D600A9"/>
    <w:rsid w:val="00D60430"/>
    <w:rsid w:val="00D60635"/>
    <w:rsid w:val="00D606CB"/>
    <w:rsid w:val="00D609E1"/>
    <w:rsid w:val="00D60C32"/>
    <w:rsid w:val="00D61181"/>
    <w:rsid w:val="00D61442"/>
    <w:rsid w:val="00D61E54"/>
    <w:rsid w:val="00D62A46"/>
    <w:rsid w:val="00D63072"/>
    <w:rsid w:val="00D63205"/>
    <w:rsid w:val="00D63753"/>
    <w:rsid w:val="00D6381A"/>
    <w:rsid w:val="00D638AB"/>
    <w:rsid w:val="00D63D8A"/>
    <w:rsid w:val="00D6498A"/>
    <w:rsid w:val="00D654E8"/>
    <w:rsid w:val="00D65ED4"/>
    <w:rsid w:val="00D66536"/>
    <w:rsid w:val="00D66DA5"/>
    <w:rsid w:val="00D67136"/>
    <w:rsid w:val="00D675DE"/>
    <w:rsid w:val="00D675F0"/>
    <w:rsid w:val="00D6763F"/>
    <w:rsid w:val="00D67F32"/>
    <w:rsid w:val="00D701CF"/>
    <w:rsid w:val="00D7029C"/>
    <w:rsid w:val="00D7049D"/>
    <w:rsid w:val="00D70A29"/>
    <w:rsid w:val="00D70B20"/>
    <w:rsid w:val="00D70E01"/>
    <w:rsid w:val="00D715C0"/>
    <w:rsid w:val="00D71A0E"/>
    <w:rsid w:val="00D728B1"/>
    <w:rsid w:val="00D72D41"/>
    <w:rsid w:val="00D734FD"/>
    <w:rsid w:val="00D73729"/>
    <w:rsid w:val="00D737F8"/>
    <w:rsid w:val="00D73D0E"/>
    <w:rsid w:val="00D74100"/>
    <w:rsid w:val="00D7435B"/>
    <w:rsid w:val="00D74C16"/>
    <w:rsid w:val="00D74DE6"/>
    <w:rsid w:val="00D74E05"/>
    <w:rsid w:val="00D754EF"/>
    <w:rsid w:val="00D7605C"/>
    <w:rsid w:val="00D76329"/>
    <w:rsid w:val="00D7656C"/>
    <w:rsid w:val="00D76601"/>
    <w:rsid w:val="00D76A49"/>
    <w:rsid w:val="00D76EF9"/>
    <w:rsid w:val="00D774A9"/>
    <w:rsid w:val="00D77A51"/>
    <w:rsid w:val="00D77EDD"/>
    <w:rsid w:val="00D80655"/>
    <w:rsid w:val="00D80C22"/>
    <w:rsid w:val="00D82A79"/>
    <w:rsid w:val="00D82BD0"/>
    <w:rsid w:val="00D83829"/>
    <w:rsid w:val="00D838D0"/>
    <w:rsid w:val="00D84561"/>
    <w:rsid w:val="00D845ED"/>
    <w:rsid w:val="00D84FB5"/>
    <w:rsid w:val="00D8557B"/>
    <w:rsid w:val="00D86415"/>
    <w:rsid w:val="00D86C4A"/>
    <w:rsid w:val="00D87554"/>
    <w:rsid w:val="00D87697"/>
    <w:rsid w:val="00D87DC2"/>
    <w:rsid w:val="00D87E28"/>
    <w:rsid w:val="00D900AF"/>
    <w:rsid w:val="00D91748"/>
    <w:rsid w:val="00D9286A"/>
    <w:rsid w:val="00D933B5"/>
    <w:rsid w:val="00D936B9"/>
    <w:rsid w:val="00D936BB"/>
    <w:rsid w:val="00D936EB"/>
    <w:rsid w:val="00D93994"/>
    <w:rsid w:val="00D93C54"/>
    <w:rsid w:val="00D94141"/>
    <w:rsid w:val="00D94B9D"/>
    <w:rsid w:val="00D95042"/>
    <w:rsid w:val="00D9767A"/>
    <w:rsid w:val="00D9794C"/>
    <w:rsid w:val="00D97965"/>
    <w:rsid w:val="00DA0058"/>
    <w:rsid w:val="00DA0A72"/>
    <w:rsid w:val="00DA0B06"/>
    <w:rsid w:val="00DA0BA1"/>
    <w:rsid w:val="00DA0F9E"/>
    <w:rsid w:val="00DA1748"/>
    <w:rsid w:val="00DA19F9"/>
    <w:rsid w:val="00DA2B29"/>
    <w:rsid w:val="00DA2E15"/>
    <w:rsid w:val="00DA2F41"/>
    <w:rsid w:val="00DA3CB3"/>
    <w:rsid w:val="00DA3E33"/>
    <w:rsid w:val="00DA447F"/>
    <w:rsid w:val="00DA47C7"/>
    <w:rsid w:val="00DA4D55"/>
    <w:rsid w:val="00DA5911"/>
    <w:rsid w:val="00DA5DB1"/>
    <w:rsid w:val="00DA62A0"/>
    <w:rsid w:val="00DA7000"/>
    <w:rsid w:val="00DA7828"/>
    <w:rsid w:val="00DB0678"/>
    <w:rsid w:val="00DB09E1"/>
    <w:rsid w:val="00DB1617"/>
    <w:rsid w:val="00DB1FBC"/>
    <w:rsid w:val="00DB25B9"/>
    <w:rsid w:val="00DB33CE"/>
    <w:rsid w:val="00DB3E9C"/>
    <w:rsid w:val="00DB4C87"/>
    <w:rsid w:val="00DB4D47"/>
    <w:rsid w:val="00DB50EA"/>
    <w:rsid w:val="00DB57AC"/>
    <w:rsid w:val="00DB5946"/>
    <w:rsid w:val="00DB61F5"/>
    <w:rsid w:val="00DB64D4"/>
    <w:rsid w:val="00DB66A5"/>
    <w:rsid w:val="00DB714F"/>
    <w:rsid w:val="00DB72B8"/>
    <w:rsid w:val="00DB73C5"/>
    <w:rsid w:val="00DB7537"/>
    <w:rsid w:val="00DB7FC9"/>
    <w:rsid w:val="00DC0605"/>
    <w:rsid w:val="00DC0790"/>
    <w:rsid w:val="00DC0B07"/>
    <w:rsid w:val="00DC0C17"/>
    <w:rsid w:val="00DC1333"/>
    <w:rsid w:val="00DC134E"/>
    <w:rsid w:val="00DC22C7"/>
    <w:rsid w:val="00DC277E"/>
    <w:rsid w:val="00DC3014"/>
    <w:rsid w:val="00DC4644"/>
    <w:rsid w:val="00DC71AA"/>
    <w:rsid w:val="00DC72FF"/>
    <w:rsid w:val="00DC741A"/>
    <w:rsid w:val="00DC75EC"/>
    <w:rsid w:val="00DC7646"/>
    <w:rsid w:val="00DC7714"/>
    <w:rsid w:val="00DC7976"/>
    <w:rsid w:val="00DC7D66"/>
    <w:rsid w:val="00DD1213"/>
    <w:rsid w:val="00DD17C9"/>
    <w:rsid w:val="00DD207C"/>
    <w:rsid w:val="00DD2143"/>
    <w:rsid w:val="00DD33B5"/>
    <w:rsid w:val="00DD3A70"/>
    <w:rsid w:val="00DD4584"/>
    <w:rsid w:val="00DD4822"/>
    <w:rsid w:val="00DD55E5"/>
    <w:rsid w:val="00DD571F"/>
    <w:rsid w:val="00DD5E7D"/>
    <w:rsid w:val="00DD6CBA"/>
    <w:rsid w:val="00DE0448"/>
    <w:rsid w:val="00DE06E1"/>
    <w:rsid w:val="00DE0714"/>
    <w:rsid w:val="00DE0DA2"/>
    <w:rsid w:val="00DE0F5A"/>
    <w:rsid w:val="00DE11A9"/>
    <w:rsid w:val="00DE21BA"/>
    <w:rsid w:val="00DE3200"/>
    <w:rsid w:val="00DE3237"/>
    <w:rsid w:val="00DE36D5"/>
    <w:rsid w:val="00DE3977"/>
    <w:rsid w:val="00DE47BE"/>
    <w:rsid w:val="00DE5AFD"/>
    <w:rsid w:val="00DE6131"/>
    <w:rsid w:val="00DE6976"/>
    <w:rsid w:val="00DE79C7"/>
    <w:rsid w:val="00DE7A1C"/>
    <w:rsid w:val="00DF12CE"/>
    <w:rsid w:val="00DF234A"/>
    <w:rsid w:val="00DF32AF"/>
    <w:rsid w:val="00DF3B57"/>
    <w:rsid w:val="00DF3E90"/>
    <w:rsid w:val="00DF56A0"/>
    <w:rsid w:val="00DF66E5"/>
    <w:rsid w:val="00DF6838"/>
    <w:rsid w:val="00DF6C9D"/>
    <w:rsid w:val="00DF6F03"/>
    <w:rsid w:val="00DF7E59"/>
    <w:rsid w:val="00E006B4"/>
    <w:rsid w:val="00E00707"/>
    <w:rsid w:val="00E00739"/>
    <w:rsid w:val="00E007B4"/>
    <w:rsid w:val="00E00FA5"/>
    <w:rsid w:val="00E019B7"/>
    <w:rsid w:val="00E0285C"/>
    <w:rsid w:val="00E038C5"/>
    <w:rsid w:val="00E039BD"/>
    <w:rsid w:val="00E03C59"/>
    <w:rsid w:val="00E05776"/>
    <w:rsid w:val="00E05911"/>
    <w:rsid w:val="00E05968"/>
    <w:rsid w:val="00E06BBB"/>
    <w:rsid w:val="00E07388"/>
    <w:rsid w:val="00E075AC"/>
    <w:rsid w:val="00E07668"/>
    <w:rsid w:val="00E07B09"/>
    <w:rsid w:val="00E10614"/>
    <w:rsid w:val="00E106E7"/>
    <w:rsid w:val="00E10EEB"/>
    <w:rsid w:val="00E111D0"/>
    <w:rsid w:val="00E112C5"/>
    <w:rsid w:val="00E1194D"/>
    <w:rsid w:val="00E11A6A"/>
    <w:rsid w:val="00E120D6"/>
    <w:rsid w:val="00E121C0"/>
    <w:rsid w:val="00E1395B"/>
    <w:rsid w:val="00E13A29"/>
    <w:rsid w:val="00E140F6"/>
    <w:rsid w:val="00E147E4"/>
    <w:rsid w:val="00E14C30"/>
    <w:rsid w:val="00E1567F"/>
    <w:rsid w:val="00E156A4"/>
    <w:rsid w:val="00E157A7"/>
    <w:rsid w:val="00E16C59"/>
    <w:rsid w:val="00E16D31"/>
    <w:rsid w:val="00E1716B"/>
    <w:rsid w:val="00E17384"/>
    <w:rsid w:val="00E17445"/>
    <w:rsid w:val="00E17B64"/>
    <w:rsid w:val="00E17CBF"/>
    <w:rsid w:val="00E20381"/>
    <w:rsid w:val="00E203D3"/>
    <w:rsid w:val="00E21734"/>
    <w:rsid w:val="00E21A4F"/>
    <w:rsid w:val="00E21CC1"/>
    <w:rsid w:val="00E21CCC"/>
    <w:rsid w:val="00E222DD"/>
    <w:rsid w:val="00E226C2"/>
    <w:rsid w:val="00E2278B"/>
    <w:rsid w:val="00E229BC"/>
    <w:rsid w:val="00E22B99"/>
    <w:rsid w:val="00E22F4C"/>
    <w:rsid w:val="00E23CE2"/>
    <w:rsid w:val="00E24133"/>
    <w:rsid w:val="00E25173"/>
    <w:rsid w:val="00E256E5"/>
    <w:rsid w:val="00E25A90"/>
    <w:rsid w:val="00E25BBE"/>
    <w:rsid w:val="00E25C6F"/>
    <w:rsid w:val="00E25DA6"/>
    <w:rsid w:val="00E26548"/>
    <w:rsid w:val="00E26B93"/>
    <w:rsid w:val="00E26C8B"/>
    <w:rsid w:val="00E26FE6"/>
    <w:rsid w:val="00E271E1"/>
    <w:rsid w:val="00E30444"/>
    <w:rsid w:val="00E3053B"/>
    <w:rsid w:val="00E30F95"/>
    <w:rsid w:val="00E311AB"/>
    <w:rsid w:val="00E31275"/>
    <w:rsid w:val="00E31347"/>
    <w:rsid w:val="00E31794"/>
    <w:rsid w:val="00E3244A"/>
    <w:rsid w:val="00E3290C"/>
    <w:rsid w:val="00E32E23"/>
    <w:rsid w:val="00E3316F"/>
    <w:rsid w:val="00E339A4"/>
    <w:rsid w:val="00E33F7B"/>
    <w:rsid w:val="00E341D7"/>
    <w:rsid w:val="00E342AB"/>
    <w:rsid w:val="00E34C62"/>
    <w:rsid w:val="00E35176"/>
    <w:rsid w:val="00E35220"/>
    <w:rsid w:val="00E35A6C"/>
    <w:rsid w:val="00E35C6A"/>
    <w:rsid w:val="00E35EBD"/>
    <w:rsid w:val="00E36091"/>
    <w:rsid w:val="00E36367"/>
    <w:rsid w:val="00E36897"/>
    <w:rsid w:val="00E3760B"/>
    <w:rsid w:val="00E37E07"/>
    <w:rsid w:val="00E402A7"/>
    <w:rsid w:val="00E403AB"/>
    <w:rsid w:val="00E40CA6"/>
    <w:rsid w:val="00E424EA"/>
    <w:rsid w:val="00E42CE7"/>
    <w:rsid w:val="00E439F3"/>
    <w:rsid w:val="00E43A4A"/>
    <w:rsid w:val="00E43BB6"/>
    <w:rsid w:val="00E44E9E"/>
    <w:rsid w:val="00E45881"/>
    <w:rsid w:val="00E47109"/>
    <w:rsid w:val="00E47835"/>
    <w:rsid w:val="00E4783F"/>
    <w:rsid w:val="00E47DD3"/>
    <w:rsid w:val="00E5045C"/>
    <w:rsid w:val="00E5099F"/>
    <w:rsid w:val="00E50E2B"/>
    <w:rsid w:val="00E514FE"/>
    <w:rsid w:val="00E51DE7"/>
    <w:rsid w:val="00E5225F"/>
    <w:rsid w:val="00E52698"/>
    <w:rsid w:val="00E52753"/>
    <w:rsid w:val="00E5308F"/>
    <w:rsid w:val="00E532A9"/>
    <w:rsid w:val="00E53600"/>
    <w:rsid w:val="00E53707"/>
    <w:rsid w:val="00E538BB"/>
    <w:rsid w:val="00E540DB"/>
    <w:rsid w:val="00E54669"/>
    <w:rsid w:val="00E54ADF"/>
    <w:rsid w:val="00E54AEA"/>
    <w:rsid w:val="00E55500"/>
    <w:rsid w:val="00E55E34"/>
    <w:rsid w:val="00E55E53"/>
    <w:rsid w:val="00E56466"/>
    <w:rsid w:val="00E564DD"/>
    <w:rsid w:val="00E56A18"/>
    <w:rsid w:val="00E57D15"/>
    <w:rsid w:val="00E60AE4"/>
    <w:rsid w:val="00E621BD"/>
    <w:rsid w:val="00E622C3"/>
    <w:rsid w:val="00E6256C"/>
    <w:rsid w:val="00E62BE5"/>
    <w:rsid w:val="00E63577"/>
    <w:rsid w:val="00E63CAA"/>
    <w:rsid w:val="00E64C31"/>
    <w:rsid w:val="00E66BBE"/>
    <w:rsid w:val="00E6713C"/>
    <w:rsid w:val="00E6747F"/>
    <w:rsid w:val="00E6774C"/>
    <w:rsid w:val="00E67A1E"/>
    <w:rsid w:val="00E67E4B"/>
    <w:rsid w:val="00E70E56"/>
    <w:rsid w:val="00E718D9"/>
    <w:rsid w:val="00E71B6D"/>
    <w:rsid w:val="00E71D15"/>
    <w:rsid w:val="00E7316C"/>
    <w:rsid w:val="00E737E7"/>
    <w:rsid w:val="00E73EC1"/>
    <w:rsid w:val="00E74AE1"/>
    <w:rsid w:val="00E75E23"/>
    <w:rsid w:val="00E7636E"/>
    <w:rsid w:val="00E763D5"/>
    <w:rsid w:val="00E76405"/>
    <w:rsid w:val="00E77271"/>
    <w:rsid w:val="00E80853"/>
    <w:rsid w:val="00E8107B"/>
    <w:rsid w:val="00E81FF5"/>
    <w:rsid w:val="00E821C8"/>
    <w:rsid w:val="00E82DF1"/>
    <w:rsid w:val="00E82FA1"/>
    <w:rsid w:val="00E831D5"/>
    <w:rsid w:val="00E8386F"/>
    <w:rsid w:val="00E83BD3"/>
    <w:rsid w:val="00E8586E"/>
    <w:rsid w:val="00E858BB"/>
    <w:rsid w:val="00E86101"/>
    <w:rsid w:val="00E86704"/>
    <w:rsid w:val="00E86AEE"/>
    <w:rsid w:val="00E8786F"/>
    <w:rsid w:val="00E90C32"/>
    <w:rsid w:val="00E90D9D"/>
    <w:rsid w:val="00E90EA1"/>
    <w:rsid w:val="00E90FA4"/>
    <w:rsid w:val="00E91249"/>
    <w:rsid w:val="00E91568"/>
    <w:rsid w:val="00E91799"/>
    <w:rsid w:val="00E9214F"/>
    <w:rsid w:val="00E9221E"/>
    <w:rsid w:val="00E9223F"/>
    <w:rsid w:val="00E92DE2"/>
    <w:rsid w:val="00E9335F"/>
    <w:rsid w:val="00E9370E"/>
    <w:rsid w:val="00E93C5E"/>
    <w:rsid w:val="00E95276"/>
    <w:rsid w:val="00E9530F"/>
    <w:rsid w:val="00E95885"/>
    <w:rsid w:val="00E967CD"/>
    <w:rsid w:val="00E97DAD"/>
    <w:rsid w:val="00E97F59"/>
    <w:rsid w:val="00E97FBF"/>
    <w:rsid w:val="00EA1439"/>
    <w:rsid w:val="00EA1D20"/>
    <w:rsid w:val="00EA2351"/>
    <w:rsid w:val="00EA2488"/>
    <w:rsid w:val="00EA252A"/>
    <w:rsid w:val="00EA2B1D"/>
    <w:rsid w:val="00EA2E16"/>
    <w:rsid w:val="00EA3215"/>
    <w:rsid w:val="00EA34CA"/>
    <w:rsid w:val="00EA37F5"/>
    <w:rsid w:val="00EA4743"/>
    <w:rsid w:val="00EA4757"/>
    <w:rsid w:val="00EA4B2A"/>
    <w:rsid w:val="00EA53CF"/>
    <w:rsid w:val="00EA5738"/>
    <w:rsid w:val="00EA58E0"/>
    <w:rsid w:val="00EA5985"/>
    <w:rsid w:val="00EA5A97"/>
    <w:rsid w:val="00EA5BE6"/>
    <w:rsid w:val="00EA65F2"/>
    <w:rsid w:val="00EA69DE"/>
    <w:rsid w:val="00EA716B"/>
    <w:rsid w:val="00EA7DF1"/>
    <w:rsid w:val="00EB1202"/>
    <w:rsid w:val="00EB180A"/>
    <w:rsid w:val="00EB208A"/>
    <w:rsid w:val="00EB2434"/>
    <w:rsid w:val="00EB2859"/>
    <w:rsid w:val="00EB2B80"/>
    <w:rsid w:val="00EB2EC3"/>
    <w:rsid w:val="00EB3385"/>
    <w:rsid w:val="00EB3B78"/>
    <w:rsid w:val="00EB41F8"/>
    <w:rsid w:val="00EB547B"/>
    <w:rsid w:val="00EB6E23"/>
    <w:rsid w:val="00EB73D0"/>
    <w:rsid w:val="00EB7708"/>
    <w:rsid w:val="00EB79C5"/>
    <w:rsid w:val="00EC081E"/>
    <w:rsid w:val="00EC127C"/>
    <w:rsid w:val="00EC1710"/>
    <w:rsid w:val="00EC1E1A"/>
    <w:rsid w:val="00EC2146"/>
    <w:rsid w:val="00EC349C"/>
    <w:rsid w:val="00EC4525"/>
    <w:rsid w:val="00EC4A18"/>
    <w:rsid w:val="00EC4BE1"/>
    <w:rsid w:val="00EC5594"/>
    <w:rsid w:val="00EC59CE"/>
    <w:rsid w:val="00EC625E"/>
    <w:rsid w:val="00EC6407"/>
    <w:rsid w:val="00EC6B21"/>
    <w:rsid w:val="00EC6F0A"/>
    <w:rsid w:val="00EC7C4B"/>
    <w:rsid w:val="00ED02E3"/>
    <w:rsid w:val="00ED05AF"/>
    <w:rsid w:val="00ED0EC7"/>
    <w:rsid w:val="00ED16A1"/>
    <w:rsid w:val="00ED1C7A"/>
    <w:rsid w:val="00ED26C5"/>
    <w:rsid w:val="00ED2749"/>
    <w:rsid w:val="00ED2FD1"/>
    <w:rsid w:val="00ED3213"/>
    <w:rsid w:val="00ED368B"/>
    <w:rsid w:val="00ED384A"/>
    <w:rsid w:val="00ED45EA"/>
    <w:rsid w:val="00ED49A9"/>
    <w:rsid w:val="00ED5570"/>
    <w:rsid w:val="00ED5779"/>
    <w:rsid w:val="00ED6AEE"/>
    <w:rsid w:val="00ED6E2E"/>
    <w:rsid w:val="00ED7DE8"/>
    <w:rsid w:val="00ED7EB8"/>
    <w:rsid w:val="00EE2514"/>
    <w:rsid w:val="00EE25A7"/>
    <w:rsid w:val="00EE37E2"/>
    <w:rsid w:val="00EE4023"/>
    <w:rsid w:val="00EE429E"/>
    <w:rsid w:val="00EE4406"/>
    <w:rsid w:val="00EE4A5E"/>
    <w:rsid w:val="00EE4A7B"/>
    <w:rsid w:val="00EE4AE4"/>
    <w:rsid w:val="00EE50BD"/>
    <w:rsid w:val="00EE586D"/>
    <w:rsid w:val="00EE737C"/>
    <w:rsid w:val="00EE7F39"/>
    <w:rsid w:val="00EF00C5"/>
    <w:rsid w:val="00EF1673"/>
    <w:rsid w:val="00EF1686"/>
    <w:rsid w:val="00EF1F73"/>
    <w:rsid w:val="00EF2447"/>
    <w:rsid w:val="00EF2C96"/>
    <w:rsid w:val="00EF38EE"/>
    <w:rsid w:val="00EF454A"/>
    <w:rsid w:val="00EF4AB9"/>
    <w:rsid w:val="00EF4EED"/>
    <w:rsid w:val="00EF6106"/>
    <w:rsid w:val="00EF68DA"/>
    <w:rsid w:val="00EF72D9"/>
    <w:rsid w:val="00EF7DC5"/>
    <w:rsid w:val="00F00BB2"/>
    <w:rsid w:val="00F010F7"/>
    <w:rsid w:val="00F01276"/>
    <w:rsid w:val="00F01F92"/>
    <w:rsid w:val="00F0205D"/>
    <w:rsid w:val="00F02356"/>
    <w:rsid w:val="00F02A92"/>
    <w:rsid w:val="00F03408"/>
    <w:rsid w:val="00F03ABC"/>
    <w:rsid w:val="00F05680"/>
    <w:rsid w:val="00F05CC1"/>
    <w:rsid w:val="00F05CF7"/>
    <w:rsid w:val="00F05D22"/>
    <w:rsid w:val="00F061E7"/>
    <w:rsid w:val="00F06466"/>
    <w:rsid w:val="00F065FE"/>
    <w:rsid w:val="00F06C14"/>
    <w:rsid w:val="00F06EE8"/>
    <w:rsid w:val="00F0753E"/>
    <w:rsid w:val="00F07845"/>
    <w:rsid w:val="00F0E051"/>
    <w:rsid w:val="00F1101E"/>
    <w:rsid w:val="00F110D0"/>
    <w:rsid w:val="00F11CD5"/>
    <w:rsid w:val="00F1344D"/>
    <w:rsid w:val="00F135D2"/>
    <w:rsid w:val="00F154E3"/>
    <w:rsid w:val="00F157D8"/>
    <w:rsid w:val="00F16100"/>
    <w:rsid w:val="00F16498"/>
    <w:rsid w:val="00F17D93"/>
    <w:rsid w:val="00F205BD"/>
    <w:rsid w:val="00F21701"/>
    <w:rsid w:val="00F23338"/>
    <w:rsid w:val="00F236E2"/>
    <w:rsid w:val="00F23A20"/>
    <w:rsid w:val="00F23D90"/>
    <w:rsid w:val="00F24278"/>
    <w:rsid w:val="00F2474B"/>
    <w:rsid w:val="00F24B26"/>
    <w:rsid w:val="00F24ED7"/>
    <w:rsid w:val="00F258D0"/>
    <w:rsid w:val="00F25BA5"/>
    <w:rsid w:val="00F26537"/>
    <w:rsid w:val="00F26C5F"/>
    <w:rsid w:val="00F2794D"/>
    <w:rsid w:val="00F30859"/>
    <w:rsid w:val="00F315B2"/>
    <w:rsid w:val="00F31947"/>
    <w:rsid w:val="00F31B7D"/>
    <w:rsid w:val="00F31E14"/>
    <w:rsid w:val="00F3262B"/>
    <w:rsid w:val="00F33E44"/>
    <w:rsid w:val="00F33EF1"/>
    <w:rsid w:val="00F34751"/>
    <w:rsid w:val="00F34B9B"/>
    <w:rsid w:val="00F34FDB"/>
    <w:rsid w:val="00F352D0"/>
    <w:rsid w:val="00F35821"/>
    <w:rsid w:val="00F368DF"/>
    <w:rsid w:val="00F36974"/>
    <w:rsid w:val="00F36D4F"/>
    <w:rsid w:val="00F37966"/>
    <w:rsid w:val="00F37C15"/>
    <w:rsid w:val="00F37DC8"/>
    <w:rsid w:val="00F405EB"/>
    <w:rsid w:val="00F40AE1"/>
    <w:rsid w:val="00F40D20"/>
    <w:rsid w:val="00F41953"/>
    <w:rsid w:val="00F41A4E"/>
    <w:rsid w:val="00F41CB0"/>
    <w:rsid w:val="00F4233C"/>
    <w:rsid w:val="00F423FD"/>
    <w:rsid w:val="00F4284A"/>
    <w:rsid w:val="00F42A8F"/>
    <w:rsid w:val="00F42F8C"/>
    <w:rsid w:val="00F42FDF"/>
    <w:rsid w:val="00F43263"/>
    <w:rsid w:val="00F43848"/>
    <w:rsid w:val="00F43B64"/>
    <w:rsid w:val="00F43BD7"/>
    <w:rsid w:val="00F43CBE"/>
    <w:rsid w:val="00F4569E"/>
    <w:rsid w:val="00F458AE"/>
    <w:rsid w:val="00F45BFF"/>
    <w:rsid w:val="00F46CE0"/>
    <w:rsid w:val="00F47277"/>
    <w:rsid w:val="00F50B2D"/>
    <w:rsid w:val="00F50BD2"/>
    <w:rsid w:val="00F50F9B"/>
    <w:rsid w:val="00F5283D"/>
    <w:rsid w:val="00F528C4"/>
    <w:rsid w:val="00F52D14"/>
    <w:rsid w:val="00F52DE8"/>
    <w:rsid w:val="00F53B03"/>
    <w:rsid w:val="00F53E4D"/>
    <w:rsid w:val="00F5524B"/>
    <w:rsid w:val="00F56CD3"/>
    <w:rsid w:val="00F56D83"/>
    <w:rsid w:val="00F57256"/>
    <w:rsid w:val="00F5B0C1"/>
    <w:rsid w:val="00F605E8"/>
    <w:rsid w:val="00F60B08"/>
    <w:rsid w:val="00F60D65"/>
    <w:rsid w:val="00F612E2"/>
    <w:rsid w:val="00F61C3E"/>
    <w:rsid w:val="00F62E57"/>
    <w:rsid w:val="00F62F9C"/>
    <w:rsid w:val="00F64265"/>
    <w:rsid w:val="00F64760"/>
    <w:rsid w:val="00F64ABC"/>
    <w:rsid w:val="00F65980"/>
    <w:rsid w:val="00F6637B"/>
    <w:rsid w:val="00F67AC5"/>
    <w:rsid w:val="00F70032"/>
    <w:rsid w:val="00F709E7"/>
    <w:rsid w:val="00F71C04"/>
    <w:rsid w:val="00F71D7A"/>
    <w:rsid w:val="00F71E18"/>
    <w:rsid w:val="00F727A1"/>
    <w:rsid w:val="00F72DA8"/>
    <w:rsid w:val="00F72FA0"/>
    <w:rsid w:val="00F73549"/>
    <w:rsid w:val="00F73689"/>
    <w:rsid w:val="00F73FBB"/>
    <w:rsid w:val="00F74197"/>
    <w:rsid w:val="00F74ADF"/>
    <w:rsid w:val="00F74EF7"/>
    <w:rsid w:val="00F7555C"/>
    <w:rsid w:val="00F75562"/>
    <w:rsid w:val="00F75DEB"/>
    <w:rsid w:val="00F768C4"/>
    <w:rsid w:val="00F774E6"/>
    <w:rsid w:val="00F77519"/>
    <w:rsid w:val="00F77833"/>
    <w:rsid w:val="00F77BA4"/>
    <w:rsid w:val="00F77E08"/>
    <w:rsid w:val="00F807ED"/>
    <w:rsid w:val="00F813B8"/>
    <w:rsid w:val="00F822C0"/>
    <w:rsid w:val="00F8256C"/>
    <w:rsid w:val="00F82DDE"/>
    <w:rsid w:val="00F83136"/>
    <w:rsid w:val="00F8329B"/>
    <w:rsid w:val="00F84341"/>
    <w:rsid w:val="00F8462B"/>
    <w:rsid w:val="00F84663"/>
    <w:rsid w:val="00F847AB"/>
    <w:rsid w:val="00F848E2"/>
    <w:rsid w:val="00F848FB"/>
    <w:rsid w:val="00F848FD"/>
    <w:rsid w:val="00F84B53"/>
    <w:rsid w:val="00F84C9C"/>
    <w:rsid w:val="00F84EA0"/>
    <w:rsid w:val="00F85542"/>
    <w:rsid w:val="00F859A4"/>
    <w:rsid w:val="00F863D0"/>
    <w:rsid w:val="00F8648E"/>
    <w:rsid w:val="00F9084F"/>
    <w:rsid w:val="00F92545"/>
    <w:rsid w:val="00F92EE7"/>
    <w:rsid w:val="00F93064"/>
    <w:rsid w:val="00F93776"/>
    <w:rsid w:val="00F93C7F"/>
    <w:rsid w:val="00F9474B"/>
    <w:rsid w:val="00F948ED"/>
    <w:rsid w:val="00F94909"/>
    <w:rsid w:val="00F9497F"/>
    <w:rsid w:val="00F94E61"/>
    <w:rsid w:val="00F95CE6"/>
    <w:rsid w:val="00F964E6"/>
    <w:rsid w:val="00F96618"/>
    <w:rsid w:val="00F96B2F"/>
    <w:rsid w:val="00FA0972"/>
    <w:rsid w:val="00FA1635"/>
    <w:rsid w:val="00FA1B8E"/>
    <w:rsid w:val="00FA2301"/>
    <w:rsid w:val="00FA23C2"/>
    <w:rsid w:val="00FA24E2"/>
    <w:rsid w:val="00FA31DC"/>
    <w:rsid w:val="00FA3E23"/>
    <w:rsid w:val="00FA3EE9"/>
    <w:rsid w:val="00FA430F"/>
    <w:rsid w:val="00FA4D39"/>
    <w:rsid w:val="00FA4D98"/>
    <w:rsid w:val="00FA5857"/>
    <w:rsid w:val="00FA593E"/>
    <w:rsid w:val="00FA627D"/>
    <w:rsid w:val="00FA65CE"/>
    <w:rsid w:val="00FA66D0"/>
    <w:rsid w:val="00FA6C7D"/>
    <w:rsid w:val="00FA7193"/>
    <w:rsid w:val="00FA7410"/>
    <w:rsid w:val="00FA7ACA"/>
    <w:rsid w:val="00FA7CE9"/>
    <w:rsid w:val="00FAEB34"/>
    <w:rsid w:val="00FB0B54"/>
    <w:rsid w:val="00FB0E07"/>
    <w:rsid w:val="00FB1717"/>
    <w:rsid w:val="00FB1788"/>
    <w:rsid w:val="00FB1886"/>
    <w:rsid w:val="00FB1B68"/>
    <w:rsid w:val="00FB1CFA"/>
    <w:rsid w:val="00FB1D0E"/>
    <w:rsid w:val="00FB2A69"/>
    <w:rsid w:val="00FB37AF"/>
    <w:rsid w:val="00FB3ADD"/>
    <w:rsid w:val="00FB3AE4"/>
    <w:rsid w:val="00FB3ECD"/>
    <w:rsid w:val="00FB4032"/>
    <w:rsid w:val="00FB45C4"/>
    <w:rsid w:val="00FB589F"/>
    <w:rsid w:val="00FB5B1E"/>
    <w:rsid w:val="00FB5C1D"/>
    <w:rsid w:val="00FB6228"/>
    <w:rsid w:val="00FB6AE5"/>
    <w:rsid w:val="00FB745F"/>
    <w:rsid w:val="00FB7A5C"/>
    <w:rsid w:val="00FB7AD9"/>
    <w:rsid w:val="00FB7BF0"/>
    <w:rsid w:val="00FB7C24"/>
    <w:rsid w:val="00FC00B8"/>
    <w:rsid w:val="00FC0512"/>
    <w:rsid w:val="00FC05A6"/>
    <w:rsid w:val="00FC09C7"/>
    <w:rsid w:val="00FC09E3"/>
    <w:rsid w:val="00FC14C2"/>
    <w:rsid w:val="00FC1C0C"/>
    <w:rsid w:val="00FC1F1E"/>
    <w:rsid w:val="00FC25F4"/>
    <w:rsid w:val="00FC261C"/>
    <w:rsid w:val="00FC28E3"/>
    <w:rsid w:val="00FC29DC"/>
    <w:rsid w:val="00FC2CA9"/>
    <w:rsid w:val="00FC2D0B"/>
    <w:rsid w:val="00FC30B7"/>
    <w:rsid w:val="00FC34E4"/>
    <w:rsid w:val="00FC36FD"/>
    <w:rsid w:val="00FC3A5B"/>
    <w:rsid w:val="00FC3ABC"/>
    <w:rsid w:val="00FC3CB4"/>
    <w:rsid w:val="00FC41D5"/>
    <w:rsid w:val="00FC585A"/>
    <w:rsid w:val="00FC6248"/>
    <w:rsid w:val="00FC639C"/>
    <w:rsid w:val="00FC6798"/>
    <w:rsid w:val="00FC73C0"/>
    <w:rsid w:val="00FC7642"/>
    <w:rsid w:val="00FD09AB"/>
    <w:rsid w:val="00FD0AA4"/>
    <w:rsid w:val="00FD24E9"/>
    <w:rsid w:val="00FD304F"/>
    <w:rsid w:val="00FD4A1E"/>
    <w:rsid w:val="00FD4B2E"/>
    <w:rsid w:val="00FD4D8D"/>
    <w:rsid w:val="00FD52FD"/>
    <w:rsid w:val="00FD53C5"/>
    <w:rsid w:val="00FD67F4"/>
    <w:rsid w:val="00FD69C9"/>
    <w:rsid w:val="00FD7DA0"/>
    <w:rsid w:val="00FD7E82"/>
    <w:rsid w:val="00FE011F"/>
    <w:rsid w:val="00FE0244"/>
    <w:rsid w:val="00FE0436"/>
    <w:rsid w:val="00FE0535"/>
    <w:rsid w:val="00FE094F"/>
    <w:rsid w:val="00FE09A0"/>
    <w:rsid w:val="00FE0A3E"/>
    <w:rsid w:val="00FE0CD0"/>
    <w:rsid w:val="00FE114B"/>
    <w:rsid w:val="00FE1C59"/>
    <w:rsid w:val="00FE1E32"/>
    <w:rsid w:val="00FE279E"/>
    <w:rsid w:val="00FE2FB1"/>
    <w:rsid w:val="00FE3106"/>
    <w:rsid w:val="00FE3CFD"/>
    <w:rsid w:val="00FE4427"/>
    <w:rsid w:val="00FE44B7"/>
    <w:rsid w:val="00FE54D4"/>
    <w:rsid w:val="00FE5D7B"/>
    <w:rsid w:val="00FE5F74"/>
    <w:rsid w:val="00FE6077"/>
    <w:rsid w:val="00FE67BB"/>
    <w:rsid w:val="00FE7BBA"/>
    <w:rsid w:val="00FF0C05"/>
    <w:rsid w:val="00FF0C47"/>
    <w:rsid w:val="00FF15C5"/>
    <w:rsid w:val="00FF2131"/>
    <w:rsid w:val="00FF293B"/>
    <w:rsid w:val="00FF2A7F"/>
    <w:rsid w:val="00FF2B70"/>
    <w:rsid w:val="00FF2B98"/>
    <w:rsid w:val="00FF3DA9"/>
    <w:rsid w:val="00FF4549"/>
    <w:rsid w:val="00FF63C4"/>
    <w:rsid w:val="00FF63EC"/>
    <w:rsid w:val="00FF6F91"/>
    <w:rsid w:val="00FF761D"/>
    <w:rsid w:val="00FF79AB"/>
    <w:rsid w:val="0114B9F6"/>
    <w:rsid w:val="01263384"/>
    <w:rsid w:val="01293B96"/>
    <w:rsid w:val="0136E276"/>
    <w:rsid w:val="013CEFFB"/>
    <w:rsid w:val="013D6F14"/>
    <w:rsid w:val="013DB0DB"/>
    <w:rsid w:val="014CF0FC"/>
    <w:rsid w:val="01561596"/>
    <w:rsid w:val="015E2097"/>
    <w:rsid w:val="016895BE"/>
    <w:rsid w:val="016FFB63"/>
    <w:rsid w:val="0182B06B"/>
    <w:rsid w:val="0182D029"/>
    <w:rsid w:val="018DBBA1"/>
    <w:rsid w:val="01916B61"/>
    <w:rsid w:val="01919913"/>
    <w:rsid w:val="019602AA"/>
    <w:rsid w:val="01A13172"/>
    <w:rsid w:val="01A32008"/>
    <w:rsid w:val="01A33EC4"/>
    <w:rsid w:val="01A6549B"/>
    <w:rsid w:val="01A6C41E"/>
    <w:rsid w:val="01B477AD"/>
    <w:rsid w:val="01B70437"/>
    <w:rsid w:val="01B8AC9C"/>
    <w:rsid w:val="01BC75D6"/>
    <w:rsid w:val="01BF6117"/>
    <w:rsid w:val="01BFDCFA"/>
    <w:rsid w:val="01C5E743"/>
    <w:rsid w:val="01D19079"/>
    <w:rsid w:val="01D6565E"/>
    <w:rsid w:val="01D67136"/>
    <w:rsid w:val="01E2A60D"/>
    <w:rsid w:val="01F25950"/>
    <w:rsid w:val="01F50FD4"/>
    <w:rsid w:val="01FB7B9E"/>
    <w:rsid w:val="02000E86"/>
    <w:rsid w:val="0201827B"/>
    <w:rsid w:val="022906E8"/>
    <w:rsid w:val="0234E99C"/>
    <w:rsid w:val="02512B19"/>
    <w:rsid w:val="025781E5"/>
    <w:rsid w:val="0261817C"/>
    <w:rsid w:val="026CF386"/>
    <w:rsid w:val="028605AC"/>
    <w:rsid w:val="028DEEB9"/>
    <w:rsid w:val="028F6216"/>
    <w:rsid w:val="02C7D72C"/>
    <w:rsid w:val="02D7415F"/>
    <w:rsid w:val="02E3083A"/>
    <w:rsid w:val="02E5DD6F"/>
    <w:rsid w:val="02EF8327"/>
    <w:rsid w:val="02F7F7F4"/>
    <w:rsid w:val="030597EC"/>
    <w:rsid w:val="031538C2"/>
    <w:rsid w:val="031E80CC"/>
    <w:rsid w:val="033705C2"/>
    <w:rsid w:val="03388661"/>
    <w:rsid w:val="033D89E9"/>
    <w:rsid w:val="0349A67A"/>
    <w:rsid w:val="03538969"/>
    <w:rsid w:val="0357107D"/>
    <w:rsid w:val="0366107D"/>
    <w:rsid w:val="03683D18"/>
    <w:rsid w:val="0375EF76"/>
    <w:rsid w:val="03911A6E"/>
    <w:rsid w:val="03958DD5"/>
    <w:rsid w:val="039F6937"/>
    <w:rsid w:val="03A78F85"/>
    <w:rsid w:val="03C8B747"/>
    <w:rsid w:val="03CE1FD8"/>
    <w:rsid w:val="03D947A9"/>
    <w:rsid w:val="03E4E12E"/>
    <w:rsid w:val="03EBC9C3"/>
    <w:rsid w:val="04003A24"/>
    <w:rsid w:val="04106772"/>
    <w:rsid w:val="04124F45"/>
    <w:rsid w:val="04195EDC"/>
    <w:rsid w:val="04253A37"/>
    <w:rsid w:val="04369FEF"/>
    <w:rsid w:val="0438BD5D"/>
    <w:rsid w:val="044A2394"/>
    <w:rsid w:val="044CF0E5"/>
    <w:rsid w:val="045876FB"/>
    <w:rsid w:val="045AE3C3"/>
    <w:rsid w:val="045C5B71"/>
    <w:rsid w:val="045DF724"/>
    <w:rsid w:val="04671F28"/>
    <w:rsid w:val="046875B1"/>
    <w:rsid w:val="04819DE7"/>
    <w:rsid w:val="048B7F51"/>
    <w:rsid w:val="048EE247"/>
    <w:rsid w:val="0498C18E"/>
    <w:rsid w:val="04B66E84"/>
    <w:rsid w:val="04BD9ED0"/>
    <w:rsid w:val="04C30D57"/>
    <w:rsid w:val="04CDC009"/>
    <w:rsid w:val="04CF7B60"/>
    <w:rsid w:val="04D46AE2"/>
    <w:rsid w:val="04DADFF6"/>
    <w:rsid w:val="04EAF4E5"/>
    <w:rsid w:val="04FA0EFA"/>
    <w:rsid w:val="04FC1BAC"/>
    <w:rsid w:val="05090482"/>
    <w:rsid w:val="052B0F0E"/>
    <w:rsid w:val="052BD4B4"/>
    <w:rsid w:val="052FBE9C"/>
    <w:rsid w:val="0541396B"/>
    <w:rsid w:val="05520A7E"/>
    <w:rsid w:val="055746A7"/>
    <w:rsid w:val="055B9511"/>
    <w:rsid w:val="0571C0D2"/>
    <w:rsid w:val="05891115"/>
    <w:rsid w:val="058C66D4"/>
    <w:rsid w:val="05917FE8"/>
    <w:rsid w:val="05931323"/>
    <w:rsid w:val="05966D5B"/>
    <w:rsid w:val="05992B5A"/>
    <w:rsid w:val="05A55C27"/>
    <w:rsid w:val="05A92947"/>
    <w:rsid w:val="05B07020"/>
    <w:rsid w:val="05B8FF76"/>
    <w:rsid w:val="05C3B503"/>
    <w:rsid w:val="05CDE3C6"/>
    <w:rsid w:val="05DA8719"/>
    <w:rsid w:val="05DAF1FF"/>
    <w:rsid w:val="05DB0A02"/>
    <w:rsid w:val="05DC08CE"/>
    <w:rsid w:val="05E2C762"/>
    <w:rsid w:val="05E5219C"/>
    <w:rsid w:val="05EC4023"/>
    <w:rsid w:val="05FDFEEB"/>
    <w:rsid w:val="0607B94B"/>
    <w:rsid w:val="061E5034"/>
    <w:rsid w:val="0628F016"/>
    <w:rsid w:val="062C8E4B"/>
    <w:rsid w:val="064019BA"/>
    <w:rsid w:val="06593A80"/>
    <w:rsid w:val="0659D0D8"/>
    <w:rsid w:val="065ABEE4"/>
    <w:rsid w:val="065F704A"/>
    <w:rsid w:val="06668B50"/>
    <w:rsid w:val="066BD5CB"/>
    <w:rsid w:val="066E4FAD"/>
    <w:rsid w:val="066E9915"/>
    <w:rsid w:val="0670064F"/>
    <w:rsid w:val="0670A771"/>
    <w:rsid w:val="0673D4D7"/>
    <w:rsid w:val="0674B819"/>
    <w:rsid w:val="06768C27"/>
    <w:rsid w:val="0682310D"/>
    <w:rsid w:val="06952B45"/>
    <w:rsid w:val="06977FF0"/>
    <w:rsid w:val="0697EC0D"/>
    <w:rsid w:val="06A56F84"/>
    <w:rsid w:val="06A81612"/>
    <w:rsid w:val="06CA5E10"/>
    <w:rsid w:val="06D4D02C"/>
    <w:rsid w:val="06D95937"/>
    <w:rsid w:val="06F4D9DC"/>
    <w:rsid w:val="0709F772"/>
    <w:rsid w:val="071C81F4"/>
    <w:rsid w:val="072DC455"/>
    <w:rsid w:val="073CEF0A"/>
    <w:rsid w:val="07561952"/>
    <w:rsid w:val="0759E994"/>
    <w:rsid w:val="0761CB9D"/>
    <w:rsid w:val="0782A8E4"/>
    <w:rsid w:val="0794ABBA"/>
    <w:rsid w:val="079ACF52"/>
    <w:rsid w:val="07A65DB3"/>
    <w:rsid w:val="07A6E623"/>
    <w:rsid w:val="07A752C0"/>
    <w:rsid w:val="07AC7256"/>
    <w:rsid w:val="07AF916D"/>
    <w:rsid w:val="07CDABB1"/>
    <w:rsid w:val="07DF2CDB"/>
    <w:rsid w:val="07E02E6E"/>
    <w:rsid w:val="07EDE96E"/>
    <w:rsid w:val="07EDFC10"/>
    <w:rsid w:val="08032D36"/>
    <w:rsid w:val="0811B678"/>
    <w:rsid w:val="08188A3A"/>
    <w:rsid w:val="0824941D"/>
    <w:rsid w:val="0835E192"/>
    <w:rsid w:val="08414AB5"/>
    <w:rsid w:val="084244E1"/>
    <w:rsid w:val="0845926D"/>
    <w:rsid w:val="085B6908"/>
    <w:rsid w:val="085C472C"/>
    <w:rsid w:val="0861B3B1"/>
    <w:rsid w:val="08694986"/>
    <w:rsid w:val="086D9613"/>
    <w:rsid w:val="08735EC0"/>
    <w:rsid w:val="0888407F"/>
    <w:rsid w:val="0888D868"/>
    <w:rsid w:val="089C7D37"/>
    <w:rsid w:val="08A94D5A"/>
    <w:rsid w:val="08B12391"/>
    <w:rsid w:val="08EAFAAA"/>
    <w:rsid w:val="08ED2EAB"/>
    <w:rsid w:val="08F37AA6"/>
    <w:rsid w:val="08F76E8F"/>
    <w:rsid w:val="08FAEB73"/>
    <w:rsid w:val="091EBFF7"/>
    <w:rsid w:val="09225B39"/>
    <w:rsid w:val="092671B7"/>
    <w:rsid w:val="092B58C8"/>
    <w:rsid w:val="09444B08"/>
    <w:rsid w:val="095343A0"/>
    <w:rsid w:val="096A64EA"/>
    <w:rsid w:val="0971337D"/>
    <w:rsid w:val="097F7C46"/>
    <w:rsid w:val="0995AAC0"/>
    <w:rsid w:val="099F4326"/>
    <w:rsid w:val="09A0A3EC"/>
    <w:rsid w:val="09B5FCED"/>
    <w:rsid w:val="09C2A5B8"/>
    <w:rsid w:val="09C32B65"/>
    <w:rsid w:val="09C85784"/>
    <w:rsid w:val="09CB2380"/>
    <w:rsid w:val="09DFE1B2"/>
    <w:rsid w:val="09F9D58A"/>
    <w:rsid w:val="09FC0186"/>
    <w:rsid w:val="09FD8412"/>
    <w:rsid w:val="0A126FA3"/>
    <w:rsid w:val="0A294640"/>
    <w:rsid w:val="0A2E9C89"/>
    <w:rsid w:val="0A3668A4"/>
    <w:rsid w:val="0A4CFC9D"/>
    <w:rsid w:val="0A5575C2"/>
    <w:rsid w:val="0A5D040B"/>
    <w:rsid w:val="0A658A63"/>
    <w:rsid w:val="0A669C5C"/>
    <w:rsid w:val="0A6E198B"/>
    <w:rsid w:val="0A790F13"/>
    <w:rsid w:val="0A8C8FD6"/>
    <w:rsid w:val="0AA113D2"/>
    <w:rsid w:val="0AB00746"/>
    <w:rsid w:val="0AB0131C"/>
    <w:rsid w:val="0AB6B37A"/>
    <w:rsid w:val="0AB937B4"/>
    <w:rsid w:val="0AC44044"/>
    <w:rsid w:val="0ACAC9B5"/>
    <w:rsid w:val="0ADCA8FB"/>
    <w:rsid w:val="0AE07D12"/>
    <w:rsid w:val="0AE1736F"/>
    <w:rsid w:val="0AEE332F"/>
    <w:rsid w:val="0AF8833B"/>
    <w:rsid w:val="0B144606"/>
    <w:rsid w:val="0B1FA01A"/>
    <w:rsid w:val="0B202062"/>
    <w:rsid w:val="0B35A5DD"/>
    <w:rsid w:val="0B371A81"/>
    <w:rsid w:val="0B45525F"/>
    <w:rsid w:val="0B52FC1F"/>
    <w:rsid w:val="0B5FFE0E"/>
    <w:rsid w:val="0B6453AB"/>
    <w:rsid w:val="0B667912"/>
    <w:rsid w:val="0B77BDAD"/>
    <w:rsid w:val="0B7E82B0"/>
    <w:rsid w:val="0B8CFB9F"/>
    <w:rsid w:val="0B916E63"/>
    <w:rsid w:val="0B9C49F3"/>
    <w:rsid w:val="0BB0A129"/>
    <w:rsid w:val="0BBAE106"/>
    <w:rsid w:val="0BBE9108"/>
    <w:rsid w:val="0BC71B9F"/>
    <w:rsid w:val="0BD4BB90"/>
    <w:rsid w:val="0BE6F4E4"/>
    <w:rsid w:val="0BE6FD93"/>
    <w:rsid w:val="0BF496F0"/>
    <w:rsid w:val="0BF66BF4"/>
    <w:rsid w:val="0BFD0951"/>
    <w:rsid w:val="0C01706F"/>
    <w:rsid w:val="0C05DADC"/>
    <w:rsid w:val="0C160C47"/>
    <w:rsid w:val="0C18C81F"/>
    <w:rsid w:val="0C1C1463"/>
    <w:rsid w:val="0C276DAE"/>
    <w:rsid w:val="0C32F687"/>
    <w:rsid w:val="0C37CFCF"/>
    <w:rsid w:val="0C3DF2D9"/>
    <w:rsid w:val="0C3FC631"/>
    <w:rsid w:val="0C44D7A1"/>
    <w:rsid w:val="0C5196CD"/>
    <w:rsid w:val="0C57E44D"/>
    <w:rsid w:val="0C650BDA"/>
    <w:rsid w:val="0C6A8395"/>
    <w:rsid w:val="0C6F575F"/>
    <w:rsid w:val="0C72D4BF"/>
    <w:rsid w:val="0C7AC312"/>
    <w:rsid w:val="0C964EED"/>
    <w:rsid w:val="0CAC5AF6"/>
    <w:rsid w:val="0CCD6BE7"/>
    <w:rsid w:val="0CCE7EFD"/>
    <w:rsid w:val="0CD4E611"/>
    <w:rsid w:val="0CD550AA"/>
    <w:rsid w:val="0CDBFB2E"/>
    <w:rsid w:val="0CDD014B"/>
    <w:rsid w:val="0CE029C4"/>
    <w:rsid w:val="0CE11E1D"/>
    <w:rsid w:val="0CE59541"/>
    <w:rsid w:val="0CEB48C3"/>
    <w:rsid w:val="0D022F5B"/>
    <w:rsid w:val="0D0A8922"/>
    <w:rsid w:val="0D10D142"/>
    <w:rsid w:val="0D18250A"/>
    <w:rsid w:val="0D1A0F92"/>
    <w:rsid w:val="0D22502E"/>
    <w:rsid w:val="0D3DB727"/>
    <w:rsid w:val="0D3EAD7E"/>
    <w:rsid w:val="0D42BE07"/>
    <w:rsid w:val="0D4EC90B"/>
    <w:rsid w:val="0D560E60"/>
    <w:rsid w:val="0D6A9BC1"/>
    <w:rsid w:val="0D708C61"/>
    <w:rsid w:val="0D719188"/>
    <w:rsid w:val="0D73804E"/>
    <w:rsid w:val="0D83F736"/>
    <w:rsid w:val="0D85BE15"/>
    <w:rsid w:val="0D881E9C"/>
    <w:rsid w:val="0DA387A6"/>
    <w:rsid w:val="0DB40D93"/>
    <w:rsid w:val="0DBD91B5"/>
    <w:rsid w:val="0DD2D291"/>
    <w:rsid w:val="0DDC0BBE"/>
    <w:rsid w:val="0DDCA3FF"/>
    <w:rsid w:val="0DF0B37E"/>
    <w:rsid w:val="0DF5BCEF"/>
    <w:rsid w:val="0DFBACC3"/>
    <w:rsid w:val="0E056740"/>
    <w:rsid w:val="0E378837"/>
    <w:rsid w:val="0E3C2F26"/>
    <w:rsid w:val="0E3F95E1"/>
    <w:rsid w:val="0E42AFD6"/>
    <w:rsid w:val="0E470535"/>
    <w:rsid w:val="0E4FDF31"/>
    <w:rsid w:val="0E51EC06"/>
    <w:rsid w:val="0E5DB205"/>
    <w:rsid w:val="0E6E9734"/>
    <w:rsid w:val="0E7BB4DD"/>
    <w:rsid w:val="0E7EC1DC"/>
    <w:rsid w:val="0E851436"/>
    <w:rsid w:val="0E9A6CE0"/>
    <w:rsid w:val="0EA45BA6"/>
    <w:rsid w:val="0EAB047F"/>
    <w:rsid w:val="0EB48E98"/>
    <w:rsid w:val="0EBA7C0F"/>
    <w:rsid w:val="0EC8EF2B"/>
    <w:rsid w:val="0EDA0146"/>
    <w:rsid w:val="0EDD58E4"/>
    <w:rsid w:val="0EEDB7D6"/>
    <w:rsid w:val="0F0675FF"/>
    <w:rsid w:val="0F0CFEBE"/>
    <w:rsid w:val="0F1083BC"/>
    <w:rsid w:val="0F10EB50"/>
    <w:rsid w:val="0F10F4C2"/>
    <w:rsid w:val="0F1738A5"/>
    <w:rsid w:val="0F2EDF50"/>
    <w:rsid w:val="0F30752E"/>
    <w:rsid w:val="0F3A0EBB"/>
    <w:rsid w:val="0F47A4C7"/>
    <w:rsid w:val="0F484BAB"/>
    <w:rsid w:val="0F491A22"/>
    <w:rsid w:val="0F4D230C"/>
    <w:rsid w:val="0F4D7579"/>
    <w:rsid w:val="0F4E2D09"/>
    <w:rsid w:val="0F66D050"/>
    <w:rsid w:val="0F69AE46"/>
    <w:rsid w:val="0F7EE85F"/>
    <w:rsid w:val="0F80F19A"/>
    <w:rsid w:val="0F9AEA98"/>
    <w:rsid w:val="0F9C6265"/>
    <w:rsid w:val="0F9FF38C"/>
    <w:rsid w:val="0FA5640A"/>
    <w:rsid w:val="0FC207B8"/>
    <w:rsid w:val="0FC5A377"/>
    <w:rsid w:val="0FCCD784"/>
    <w:rsid w:val="0FD452BB"/>
    <w:rsid w:val="0FE34932"/>
    <w:rsid w:val="0FF0509E"/>
    <w:rsid w:val="0FF51925"/>
    <w:rsid w:val="0FF59CCD"/>
    <w:rsid w:val="10034A90"/>
    <w:rsid w:val="100403FB"/>
    <w:rsid w:val="100638B5"/>
    <w:rsid w:val="1015E8D6"/>
    <w:rsid w:val="101A923D"/>
    <w:rsid w:val="10266875"/>
    <w:rsid w:val="102BD5AA"/>
    <w:rsid w:val="102BF1F4"/>
    <w:rsid w:val="1043D119"/>
    <w:rsid w:val="1057A51E"/>
    <w:rsid w:val="1059B847"/>
    <w:rsid w:val="1082B09A"/>
    <w:rsid w:val="108F5D31"/>
    <w:rsid w:val="1093C893"/>
    <w:rsid w:val="109BAA86"/>
    <w:rsid w:val="10AE549A"/>
    <w:rsid w:val="10D39935"/>
    <w:rsid w:val="10E5F53A"/>
    <w:rsid w:val="10EF572E"/>
    <w:rsid w:val="1103F701"/>
    <w:rsid w:val="1107B990"/>
    <w:rsid w:val="110C8675"/>
    <w:rsid w:val="1119D7E6"/>
    <w:rsid w:val="1119F437"/>
    <w:rsid w:val="1127C5EF"/>
    <w:rsid w:val="1161E9C4"/>
    <w:rsid w:val="1171C16C"/>
    <w:rsid w:val="1178BA62"/>
    <w:rsid w:val="11850979"/>
    <w:rsid w:val="119D3A41"/>
    <w:rsid w:val="11B18FDD"/>
    <w:rsid w:val="11B506E2"/>
    <w:rsid w:val="11B51873"/>
    <w:rsid w:val="11B6629E"/>
    <w:rsid w:val="11B8E7D3"/>
    <w:rsid w:val="11B90985"/>
    <w:rsid w:val="11CB7FE5"/>
    <w:rsid w:val="11E2201D"/>
    <w:rsid w:val="11EF5CCA"/>
    <w:rsid w:val="1203F1A0"/>
    <w:rsid w:val="12273BE3"/>
    <w:rsid w:val="12306A54"/>
    <w:rsid w:val="1230A11E"/>
    <w:rsid w:val="1231AA6E"/>
    <w:rsid w:val="1251E1A5"/>
    <w:rsid w:val="12538133"/>
    <w:rsid w:val="1254F200"/>
    <w:rsid w:val="127632E7"/>
    <w:rsid w:val="127660E5"/>
    <w:rsid w:val="1277050E"/>
    <w:rsid w:val="12872284"/>
    <w:rsid w:val="129352AC"/>
    <w:rsid w:val="12A48AA9"/>
    <w:rsid w:val="12A85598"/>
    <w:rsid w:val="12A9FC38"/>
    <w:rsid w:val="12BE09F7"/>
    <w:rsid w:val="12C5096A"/>
    <w:rsid w:val="12CA2A31"/>
    <w:rsid w:val="12CCD323"/>
    <w:rsid w:val="12CE0E8A"/>
    <w:rsid w:val="12E4135F"/>
    <w:rsid w:val="12EA2EF8"/>
    <w:rsid w:val="12EFF9DE"/>
    <w:rsid w:val="12F41BEF"/>
    <w:rsid w:val="12FD4ED1"/>
    <w:rsid w:val="1306EB15"/>
    <w:rsid w:val="1328AF7F"/>
    <w:rsid w:val="13316ED1"/>
    <w:rsid w:val="13325C94"/>
    <w:rsid w:val="1337C007"/>
    <w:rsid w:val="13382293"/>
    <w:rsid w:val="1338C37D"/>
    <w:rsid w:val="133A0237"/>
    <w:rsid w:val="133BF700"/>
    <w:rsid w:val="133E3EDD"/>
    <w:rsid w:val="134136B9"/>
    <w:rsid w:val="135851CA"/>
    <w:rsid w:val="135A34B4"/>
    <w:rsid w:val="135BD8E3"/>
    <w:rsid w:val="135F9F67"/>
    <w:rsid w:val="1361F2C1"/>
    <w:rsid w:val="136B803C"/>
    <w:rsid w:val="137C7338"/>
    <w:rsid w:val="13867818"/>
    <w:rsid w:val="139940FD"/>
    <w:rsid w:val="139DD45B"/>
    <w:rsid w:val="13A77CC2"/>
    <w:rsid w:val="13AD134C"/>
    <w:rsid w:val="13BB3630"/>
    <w:rsid w:val="13CC6037"/>
    <w:rsid w:val="13D1B06C"/>
    <w:rsid w:val="13D54A1A"/>
    <w:rsid w:val="13DC4B43"/>
    <w:rsid w:val="13DDAD21"/>
    <w:rsid w:val="13EE7D7F"/>
    <w:rsid w:val="13F609F2"/>
    <w:rsid w:val="13F96165"/>
    <w:rsid w:val="14042007"/>
    <w:rsid w:val="140FBB63"/>
    <w:rsid w:val="1410A20D"/>
    <w:rsid w:val="143B38EF"/>
    <w:rsid w:val="1440DA76"/>
    <w:rsid w:val="1465A9C5"/>
    <w:rsid w:val="146D1AE9"/>
    <w:rsid w:val="14801216"/>
    <w:rsid w:val="1484D0F8"/>
    <w:rsid w:val="14888A45"/>
    <w:rsid w:val="148D4427"/>
    <w:rsid w:val="1494BEBA"/>
    <w:rsid w:val="14967B6C"/>
    <w:rsid w:val="1499B6AA"/>
    <w:rsid w:val="14AF6F4D"/>
    <w:rsid w:val="14AF9604"/>
    <w:rsid w:val="14DA436B"/>
    <w:rsid w:val="14DB5A2E"/>
    <w:rsid w:val="14DFC2F4"/>
    <w:rsid w:val="14E04834"/>
    <w:rsid w:val="14EE0360"/>
    <w:rsid w:val="14EEFD5E"/>
    <w:rsid w:val="1504A5A8"/>
    <w:rsid w:val="1537F8E0"/>
    <w:rsid w:val="154500B7"/>
    <w:rsid w:val="15509C5B"/>
    <w:rsid w:val="1574B77C"/>
    <w:rsid w:val="157DC49E"/>
    <w:rsid w:val="157FC540"/>
    <w:rsid w:val="1582551B"/>
    <w:rsid w:val="1583FEB8"/>
    <w:rsid w:val="159575B4"/>
    <w:rsid w:val="15959FDD"/>
    <w:rsid w:val="159CBCAC"/>
    <w:rsid w:val="159DD1FE"/>
    <w:rsid w:val="15AF4608"/>
    <w:rsid w:val="15B062C2"/>
    <w:rsid w:val="15C7ADDA"/>
    <w:rsid w:val="15C9BF6A"/>
    <w:rsid w:val="15D3809F"/>
    <w:rsid w:val="1605940C"/>
    <w:rsid w:val="161270BD"/>
    <w:rsid w:val="1615FB22"/>
    <w:rsid w:val="162AB3CC"/>
    <w:rsid w:val="164BB511"/>
    <w:rsid w:val="164E0391"/>
    <w:rsid w:val="1661513D"/>
    <w:rsid w:val="16688802"/>
    <w:rsid w:val="166D7D42"/>
    <w:rsid w:val="16823E48"/>
    <w:rsid w:val="169104B4"/>
    <w:rsid w:val="169653D3"/>
    <w:rsid w:val="16AD3B31"/>
    <w:rsid w:val="16B109E6"/>
    <w:rsid w:val="16B6BAA6"/>
    <w:rsid w:val="16BAC8BF"/>
    <w:rsid w:val="16BB70CD"/>
    <w:rsid w:val="16BD49DA"/>
    <w:rsid w:val="16BD8A54"/>
    <w:rsid w:val="16BE402E"/>
    <w:rsid w:val="16D1C101"/>
    <w:rsid w:val="16DA6D4B"/>
    <w:rsid w:val="16DF1695"/>
    <w:rsid w:val="16E673CE"/>
    <w:rsid w:val="16EA95D7"/>
    <w:rsid w:val="16F225E2"/>
    <w:rsid w:val="1726551D"/>
    <w:rsid w:val="172F1755"/>
    <w:rsid w:val="1735704F"/>
    <w:rsid w:val="173AE020"/>
    <w:rsid w:val="1740D331"/>
    <w:rsid w:val="17430F10"/>
    <w:rsid w:val="175056BE"/>
    <w:rsid w:val="175415E8"/>
    <w:rsid w:val="175AAE2D"/>
    <w:rsid w:val="17620899"/>
    <w:rsid w:val="17622C5B"/>
    <w:rsid w:val="1762EE63"/>
    <w:rsid w:val="176941A1"/>
    <w:rsid w:val="1785974F"/>
    <w:rsid w:val="179ACC34"/>
    <w:rsid w:val="17A28F09"/>
    <w:rsid w:val="17B71B42"/>
    <w:rsid w:val="17BA55BE"/>
    <w:rsid w:val="17BCF567"/>
    <w:rsid w:val="17C6AA75"/>
    <w:rsid w:val="17C77D7E"/>
    <w:rsid w:val="17CA2F40"/>
    <w:rsid w:val="17CA9BE7"/>
    <w:rsid w:val="17E2FD22"/>
    <w:rsid w:val="17E34BFA"/>
    <w:rsid w:val="17E4CBE8"/>
    <w:rsid w:val="17EBB63A"/>
    <w:rsid w:val="17F5E892"/>
    <w:rsid w:val="17F743AF"/>
    <w:rsid w:val="1807C224"/>
    <w:rsid w:val="180B384D"/>
    <w:rsid w:val="1813359F"/>
    <w:rsid w:val="181FC2FB"/>
    <w:rsid w:val="18228B58"/>
    <w:rsid w:val="182619AA"/>
    <w:rsid w:val="182A798E"/>
    <w:rsid w:val="18322434"/>
    <w:rsid w:val="18349DEE"/>
    <w:rsid w:val="183CFB4B"/>
    <w:rsid w:val="183EF15F"/>
    <w:rsid w:val="18404155"/>
    <w:rsid w:val="184592B0"/>
    <w:rsid w:val="18582F35"/>
    <w:rsid w:val="185EB694"/>
    <w:rsid w:val="18609BD2"/>
    <w:rsid w:val="18663ACE"/>
    <w:rsid w:val="186EBC00"/>
    <w:rsid w:val="187366BE"/>
    <w:rsid w:val="188FDAD1"/>
    <w:rsid w:val="18AE79AA"/>
    <w:rsid w:val="18B3968C"/>
    <w:rsid w:val="18CD31C1"/>
    <w:rsid w:val="18D6C475"/>
    <w:rsid w:val="18E8E63B"/>
    <w:rsid w:val="1901602C"/>
    <w:rsid w:val="19040511"/>
    <w:rsid w:val="191C8729"/>
    <w:rsid w:val="191D1D25"/>
    <w:rsid w:val="191F0B81"/>
    <w:rsid w:val="1928DFBB"/>
    <w:rsid w:val="1938C472"/>
    <w:rsid w:val="193C2BBA"/>
    <w:rsid w:val="1956261F"/>
    <w:rsid w:val="195FF334"/>
    <w:rsid w:val="19625C58"/>
    <w:rsid w:val="197597C0"/>
    <w:rsid w:val="197E65B5"/>
    <w:rsid w:val="198BB71F"/>
    <w:rsid w:val="198E0167"/>
    <w:rsid w:val="19A7EBE0"/>
    <w:rsid w:val="19B3F6E1"/>
    <w:rsid w:val="19B7BEB8"/>
    <w:rsid w:val="19B81309"/>
    <w:rsid w:val="19BC63CC"/>
    <w:rsid w:val="19C09B81"/>
    <w:rsid w:val="19CEED79"/>
    <w:rsid w:val="19D3D413"/>
    <w:rsid w:val="19D92B74"/>
    <w:rsid w:val="19FDA709"/>
    <w:rsid w:val="1A065DF6"/>
    <w:rsid w:val="1A07C09F"/>
    <w:rsid w:val="1A1AA4D9"/>
    <w:rsid w:val="1A276EA8"/>
    <w:rsid w:val="1A32FF0E"/>
    <w:rsid w:val="1A34E720"/>
    <w:rsid w:val="1A480FF0"/>
    <w:rsid w:val="1A4CDDED"/>
    <w:rsid w:val="1A4E5043"/>
    <w:rsid w:val="1A56EDC9"/>
    <w:rsid w:val="1A613A08"/>
    <w:rsid w:val="1A62D1E1"/>
    <w:rsid w:val="1A6383EE"/>
    <w:rsid w:val="1A6DFDD1"/>
    <w:rsid w:val="1A708A1B"/>
    <w:rsid w:val="1A840830"/>
    <w:rsid w:val="1A84A9E2"/>
    <w:rsid w:val="1A9479A0"/>
    <w:rsid w:val="1A98C43F"/>
    <w:rsid w:val="1A9AF439"/>
    <w:rsid w:val="1AA89839"/>
    <w:rsid w:val="1AE0CDE1"/>
    <w:rsid w:val="1AE6C3CE"/>
    <w:rsid w:val="1B19BC76"/>
    <w:rsid w:val="1B3811FE"/>
    <w:rsid w:val="1B4407E4"/>
    <w:rsid w:val="1B44F50A"/>
    <w:rsid w:val="1B4C9617"/>
    <w:rsid w:val="1B5385BB"/>
    <w:rsid w:val="1B53A77E"/>
    <w:rsid w:val="1B563B1B"/>
    <w:rsid w:val="1B59A152"/>
    <w:rsid w:val="1B5B023A"/>
    <w:rsid w:val="1B710D6F"/>
    <w:rsid w:val="1B74C1ED"/>
    <w:rsid w:val="1B7BA476"/>
    <w:rsid w:val="1B7C63C9"/>
    <w:rsid w:val="1B823935"/>
    <w:rsid w:val="1B90DAF5"/>
    <w:rsid w:val="1B9189FD"/>
    <w:rsid w:val="1B92F833"/>
    <w:rsid w:val="1BA31A97"/>
    <w:rsid w:val="1BBFAAD2"/>
    <w:rsid w:val="1BC9BFDA"/>
    <w:rsid w:val="1BD80208"/>
    <w:rsid w:val="1C00D1B6"/>
    <w:rsid w:val="1C0450E3"/>
    <w:rsid w:val="1C1BB3F2"/>
    <w:rsid w:val="1C210768"/>
    <w:rsid w:val="1C27D80C"/>
    <w:rsid w:val="1C2A4CDC"/>
    <w:rsid w:val="1C2D5A3C"/>
    <w:rsid w:val="1C2F7212"/>
    <w:rsid w:val="1C36EF5E"/>
    <w:rsid w:val="1C3F2797"/>
    <w:rsid w:val="1C46B8B0"/>
    <w:rsid w:val="1C4FB27E"/>
    <w:rsid w:val="1C505FAC"/>
    <w:rsid w:val="1C540837"/>
    <w:rsid w:val="1C59025D"/>
    <w:rsid w:val="1C5A4832"/>
    <w:rsid w:val="1C5B1A8B"/>
    <w:rsid w:val="1C5C4C7D"/>
    <w:rsid w:val="1C5FB576"/>
    <w:rsid w:val="1C7DBBDB"/>
    <w:rsid w:val="1C96BA50"/>
    <w:rsid w:val="1C96F3C0"/>
    <w:rsid w:val="1C9D67E9"/>
    <w:rsid w:val="1CA195CE"/>
    <w:rsid w:val="1CA6998F"/>
    <w:rsid w:val="1CBE6EAF"/>
    <w:rsid w:val="1CCEDA4A"/>
    <w:rsid w:val="1CE2C37F"/>
    <w:rsid w:val="1CE41858"/>
    <w:rsid w:val="1CE74E57"/>
    <w:rsid w:val="1CED07B2"/>
    <w:rsid w:val="1CEEC61E"/>
    <w:rsid w:val="1CF82D36"/>
    <w:rsid w:val="1CFC7FD5"/>
    <w:rsid w:val="1D0603DE"/>
    <w:rsid w:val="1D0FEB61"/>
    <w:rsid w:val="1D13C4D5"/>
    <w:rsid w:val="1D1BE1FA"/>
    <w:rsid w:val="1D24D2C4"/>
    <w:rsid w:val="1D2A1E4B"/>
    <w:rsid w:val="1D44B344"/>
    <w:rsid w:val="1D553722"/>
    <w:rsid w:val="1D5A8AC2"/>
    <w:rsid w:val="1D61D195"/>
    <w:rsid w:val="1D634AB6"/>
    <w:rsid w:val="1D78A624"/>
    <w:rsid w:val="1D7F1625"/>
    <w:rsid w:val="1D83211A"/>
    <w:rsid w:val="1D83DA49"/>
    <w:rsid w:val="1D84F0BD"/>
    <w:rsid w:val="1D894142"/>
    <w:rsid w:val="1D9C6F43"/>
    <w:rsid w:val="1DAB271F"/>
    <w:rsid w:val="1DC42743"/>
    <w:rsid w:val="1DDB5CFB"/>
    <w:rsid w:val="1DDB8B26"/>
    <w:rsid w:val="1DE96692"/>
    <w:rsid w:val="1DF6C948"/>
    <w:rsid w:val="1E05C381"/>
    <w:rsid w:val="1E0BF3E7"/>
    <w:rsid w:val="1E2407DF"/>
    <w:rsid w:val="1E25E334"/>
    <w:rsid w:val="1E3ABB10"/>
    <w:rsid w:val="1E3DD669"/>
    <w:rsid w:val="1E4520E4"/>
    <w:rsid w:val="1E488211"/>
    <w:rsid w:val="1E49232B"/>
    <w:rsid w:val="1E4FC47C"/>
    <w:rsid w:val="1E637CAC"/>
    <w:rsid w:val="1E69027E"/>
    <w:rsid w:val="1E6BEECB"/>
    <w:rsid w:val="1E84F867"/>
    <w:rsid w:val="1E9E8B8A"/>
    <w:rsid w:val="1EAA2487"/>
    <w:rsid w:val="1EB3E863"/>
    <w:rsid w:val="1EC2CAB1"/>
    <w:rsid w:val="1EC7930B"/>
    <w:rsid w:val="1ED19B88"/>
    <w:rsid w:val="1EE8AADF"/>
    <w:rsid w:val="1EEC7630"/>
    <w:rsid w:val="1EFBF23B"/>
    <w:rsid w:val="1F0C5134"/>
    <w:rsid w:val="1F284697"/>
    <w:rsid w:val="1F2931B7"/>
    <w:rsid w:val="1F2E7449"/>
    <w:rsid w:val="1F31F8CB"/>
    <w:rsid w:val="1F322C45"/>
    <w:rsid w:val="1F33CAA3"/>
    <w:rsid w:val="1F476341"/>
    <w:rsid w:val="1F556EBB"/>
    <w:rsid w:val="1F6AB7E2"/>
    <w:rsid w:val="1F8EA3BE"/>
    <w:rsid w:val="1F91D1C0"/>
    <w:rsid w:val="1F972B88"/>
    <w:rsid w:val="1F992FC2"/>
    <w:rsid w:val="1FA4D65E"/>
    <w:rsid w:val="1FB222C3"/>
    <w:rsid w:val="1FB58E74"/>
    <w:rsid w:val="1FBA4CD8"/>
    <w:rsid w:val="1FD67360"/>
    <w:rsid w:val="1FE425B3"/>
    <w:rsid w:val="1FF0D5EE"/>
    <w:rsid w:val="1FF986F4"/>
    <w:rsid w:val="200E8244"/>
    <w:rsid w:val="201D6EC9"/>
    <w:rsid w:val="201ED9E2"/>
    <w:rsid w:val="2024F319"/>
    <w:rsid w:val="202BD420"/>
    <w:rsid w:val="202C1D9A"/>
    <w:rsid w:val="204A88F1"/>
    <w:rsid w:val="204BFFE2"/>
    <w:rsid w:val="204CF2C3"/>
    <w:rsid w:val="204CFC01"/>
    <w:rsid w:val="204F1C92"/>
    <w:rsid w:val="2069C879"/>
    <w:rsid w:val="206D0A37"/>
    <w:rsid w:val="20899C12"/>
    <w:rsid w:val="20A00239"/>
    <w:rsid w:val="20A1CD01"/>
    <w:rsid w:val="20C602CE"/>
    <w:rsid w:val="20D098A3"/>
    <w:rsid w:val="20D3AFB9"/>
    <w:rsid w:val="20DA7F12"/>
    <w:rsid w:val="20EB414C"/>
    <w:rsid w:val="20ECDF7B"/>
    <w:rsid w:val="20F13995"/>
    <w:rsid w:val="21056693"/>
    <w:rsid w:val="210A6081"/>
    <w:rsid w:val="2115F719"/>
    <w:rsid w:val="2122492F"/>
    <w:rsid w:val="2128F4C4"/>
    <w:rsid w:val="212ACA1A"/>
    <w:rsid w:val="212ADB66"/>
    <w:rsid w:val="2138E78C"/>
    <w:rsid w:val="213B895D"/>
    <w:rsid w:val="21499DEA"/>
    <w:rsid w:val="214F1673"/>
    <w:rsid w:val="215C5AB0"/>
    <w:rsid w:val="2174DC1F"/>
    <w:rsid w:val="21873FED"/>
    <w:rsid w:val="218E46EA"/>
    <w:rsid w:val="21A38F8D"/>
    <w:rsid w:val="21A63DEB"/>
    <w:rsid w:val="21A663FC"/>
    <w:rsid w:val="21A75078"/>
    <w:rsid w:val="21AF0373"/>
    <w:rsid w:val="21B7F9B6"/>
    <w:rsid w:val="21BA7452"/>
    <w:rsid w:val="21CA1B4B"/>
    <w:rsid w:val="21CDCF7B"/>
    <w:rsid w:val="21DD7234"/>
    <w:rsid w:val="21E6CFC4"/>
    <w:rsid w:val="21F38F9D"/>
    <w:rsid w:val="21F77159"/>
    <w:rsid w:val="22273E20"/>
    <w:rsid w:val="22290DEA"/>
    <w:rsid w:val="222B5DBD"/>
    <w:rsid w:val="223FD864"/>
    <w:rsid w:val="2245C137"/>
    <w:rsid w:val="224E4E6F"/>
    <w:rsid w:val="22506BD0"/>
    <w:rsid w:val="225BF5BE"/>
    <w:rsid w:val="225C2429"/>
    <w:rsid w:val="226735D9"/>
    <w:rsid w:val="226D6A61"/>
    <w:rsid w:val="2293FEC5"/>
    <w:rsid w:val="22964F47"/>
    <w:rsid w:val="229FB123"/>
    <w:rsid w:val="22A19902"/>
    <w:rsid w:val="22B34086"/>
    <w:rsid w:val="22B7CF25"/>
    <w:rsid w:val="22BA82BB"/>
    <w:rsid w:val="22C473BB"/>
    <w:rsid w:val="22D05FDA"/>
    <w:rsid w:val="22D411E6"/>
    <w:rsid w:val="22E36DDA"/>
    <w:rsid w:val="22EFB53D"/>
    <w:rsid w:val="231B0113"/>
    <w:rsid w:val="23270FC7"/>
    <w:rsid w:val="2339052A"/>
    <w:rsid w:val="233E9B83"/>
    <w:rsid w:val="2342D1C6"/>
    <w:rsid w:val="2353FD41"/>
    <w:rsid w:val="235FAE17"/>
    <w:rsid w:val="2368DA18"/>
    <w:rsid w:val="2374DEC3"/>
    <w:rsid w:val="2375ABBC"/>
    <w:rsid w:val="2376DCA5"/>
    <w:rsid w:val="23869A59"/>
    <w:rsid w:val="238F0D36"/>
    <w:rsid w:val="23912809"/>
    <w:rsid w:val="2395D53A"/>
    <w:rsid w:val="23980475"/>
    <w:rsid w:val="239829DA"/>
    <w:rsid w:val="239ED322"/>
    <w:rsid w:val="23A1693B"/>
    <w:rsid w:val="23A58DBE"/>
    <w:rsid w:val="23A93E7B"/>
    <w:rsid w:val="23AE314E"/>
    <w:rsid w:val="23D5CE4E"/>
    <w:rsid w:val="23DFC84C"/>
    <w:rsid w:val="23EB87CE"/>
    <w:rsid w:val="23EB8C1F"/>
    <w:rsid w:val="23ECBADD"/>
    <w:rsid w:val="23F31BCD"/>
    <w:rsid w:val="23FAB07D"/>
    <w:rsid w:val="240BF53F"/>
    <w:rsid w:val="24109EA6"/>
    <w:rsid w:val="2411883E"/>
    <w:rsid w:val="24168635"/>
    <w:rsid w:val="241B231F"/>
    <w:rsid w:val="241B2891"/>
    <w:rsid w:val="24555C38"/>
    <w:rsid w:val="24668288"/>
    <w:rsid w:val="2467ADA6"/>
    <w:rsid w:val="246E7B4F"/>
    <w:rsid w:val="247668F2"/>
    <w:rsid w:val="248763A5"/>
    <w:rsid w:val="24893CEA"/>
    <w:rsid w:val="248EF7E7"/>
    <w:rsid w:val="24928ED4"/>
    <w:rsid w:val="2492F0C1"/>
    <w:rsid w:val="24930EE1"/>
    <w:rsid w:val="2495AD7B"/>
    <w:rsid w:val="249F6DDC"/>
    <w:rsid w:val="24A0FF93"/>
    <w:rsid w:val="24C13904"/>
    <w:rsid w:val="24C245CB"/>
    <w:rsid w:val="24C66150"/>
    <w:rsid w:val="24CA9C5D"/>
    <w:rsid w:val="24D3FEC0"/>
    <w:rsid w:val="24D9FD13"/>
    <w:rsid w:val="24EECFD3"/>
    <w:rsid w:val="2505FCA3"/>
    <w:rsid w:val="250D733B"/>
    <w:rsid w:val="250E7565"/>
    <w:rsid w:val="25106DF0"/>
    <w:rsid w:val="2516E0E1"/>
    <w:rsid w:val="251C1B5F"/>
    <w:rsid w:val="251D14D5"/>
    <w:rsid w:val="251E7086"/>
    <w:rsid w:val="2532DD19"/>
    <w:rsid w:val="25347615"/>
    <w:rsid w:val="253A93E9"/>
    <w:rsid w:val="253B6A31"/>
    <w:rsid w:val="253D0B8D"/>
    <w:rsid w:val="2557A88A"/>
    <w:rsid w:val="25673932"/>
    <w:rsid w:val="2567500B"/>
    <w:rsid w:val="2568395B"/>
    <w:rsid w:val="257AED7E"/>
    <w:rsid w:val="258207CF"/>
    <w:rsid w:val="2586D44C"/>
    <w:rsid w:val="258C84BA"/>
    <w:rsid w:val="25910707"/>
    <w:rsid w:val="25912059"/>
    <w:rsid w:val="25916B28"/>
    <w:rsid w:val="2593813F"/>
    <w:rsid w:val="2598647D"/>
    <w:rsid w:val="259EE1A0"/>
    <w:rsid w:val="25C17956"/>
    <w:rsid w:val="25D92984"/>
    <w:rsid w:val="25DC9DB0"/>
    <w:rsid w:val="25DCEC10"/>
    <w:rsid w:val="25DEB027"/>
    <w:rsid w:val="25E3EF04"/>
    <w:rsid w:val="25E3F406"/>
    <w:rsid w:val="25FBE495"/>
    <w:rsid w:val="26087146"/>
    <w:rsid w:val="260B6E94"/>
    <w:rsid w:val="26290F09"/>
    <w:rsid w:val="263D9BAA"/>
    <w:rsid w:val="264B2C99"/>
    <w:rsid w:val="264EEBF7"/>
    <w:rsid w:val="265264DC"/>
    <w:rsid w:val="2656C8CE"/>
    <w:rsid w:val="265B290B"/>
    <w:rsid w:val="2667893E"/>
    <w:rsid w:val="2667F147"/>
    <w:rsid w:val="266C874C"/>
    <w:rsid w:val="267BD5D8"/>
    <w:rsid w:val="268D8908"/>
    <w:rsid w:val="268F18B5"/>
    <w:rsid w:val="26955BB5"/>
    <w:rsid w:val="269719AC"/>
    <w:rsid w:val="269ADB9D"/>
    <w:rsid w:val="269D5018"/>
    <w:rsid w:val="269E8195"/>
    <w:rsid w:val="26A70DD2"/>
    <w:rsid w:val="26B843ED"/>
    <w:rsid w:val="26E46263"/>
    <w:rsid w:val="26E47F3D"/>
    <w:rsid w:val="26E69BBA"/>
    <w:rsid w:val="26F2F52D"/>
    <w:rsid w:val="271C264A"/>
    <w:rsid w:val="271D4A56"/>
    <w:rsid w:val="272482BF"/>
    <w:rsid w:val="272E0F18"/>
    <w:rsid w:val="27333ECF"/>
    <w:rsid w:val="27380454"/>
    <w:rsid w:val="2751B564"/>
    <w:rsid w:val="275C3945"/>
    <w:rsid w:val="2761FD67"/>
    <w:rsid w:val="2762A6D1"/>
    <w:rsid w:val="276554E6"/>
    <w:rsid w:val="2766E6B7"/>
    <w:rsid w:val="2783B2D6"/>
    <w:rsid w:val="27920DEE"/>
    <w:rsid w:val="27972792"/>
    <w:rsid w:val="2797BE97"/>
    <w:rsid w:val="27A50570"/>
    <w:rsid w:val="27AC8987"/>
    <w:rsid w:val="27BD3B51"/>
    <w:rsid w:val="27C49309"/>
    <w:rsid w:val="27D15105"/>
    <w:rsid w:val="27D9DD60"/>
    <w:rsid w:val="27DE7E6E"/>
    <w:rsid w:val="27E41DA3"/>
    <w:rsid w:val="27E42F43"/>
    <w:rsid w:val="27E9360B"/>
    <w:rsid w:val="27FDA93C"/>
    <w:rsid w:val="28022B97"/>
    <w:rsid w:val="281FB735"/>
    <w:rsid w:val="282A0AD8"/>
    <w:rsid w:val="282E88D4"/>
    <w:rsid w:val="282EB6D3"/>
    <w:rsid w:val="282FBA59"/>
    <w:rsid w:val="282FC091"/>
    <w:rsid w:val="282FEF4E"/>
    <w:rsid w:val="28523332"/>
    <w:rsid w:val="2865D4C6"/>
    <w:rsid w:val="287D342D"/>
    <w:rsid w:val="288A9D85"/>
    <w:rsid w:val="288C7A04"/>
    <w:rsid w:val="2895C37C"/>
    <w:rsid w:val="289AAB5F"/>
    <w:rsid w:val="28B3D422"/>
    <w:rsid w:val="28B55219"/>
    <w:rsid w:val="28B896CE"/>
    <w:rsid w:val="28C6341A"/>
    <w:rsid w:val="28D28755"/>
    <w:rsid w:val="28DEE149"/>
    <w:rsid w:val="28E0C23C"/>
    <w:rsid w:val="28F42822"/>
    <w:rsid w:val="290C2EB2"/>
    <w:rsid w:val="29191E8E"/>
    <w:rsid w:val="291B481A"/>
    <w:rsid w:val="291C0C2F"/>
    <w:rsid w:val="292744B5"/>
    <w:rsid w:val="292F8ADF"/>
    <w:rsid w:val="29335F2E"/>
    <w:rsid w:val="2948471F"/>
    <w:rsid w:val="29522BFC"/>
    <w:rsid w:val="297E7AA7"/>
    <w:rsid w:val="297FD100"/>
    <w:rsid w:val="2995EF15"/>
    <w:rsid w:val="29A8049A"/>
    <w:rsid w:val="29AC5BD3"/>
    <w:rsid w:val="29B28DBC"/>
    <w:rsid w:val="29B67D53"/>
    <w:rsid w:val="29B843EC"/>
    <w:rsid w:val="29C48A18"/>
    <w:rsid w:val="29C9DD21"/>
    <w:rsid w:val="29DB6D8E"/>
    <w:rsid w:val="29DF0F49"/>
    <w:rsid w:val="29E35968"/>
    <w:rsid w:val="29EE8067"/>
    <w:rsid w:val="29F26971"/>
    <w:rsid w:val="29F3CAC6"/>
    <w:rsid w:val="2A096BA2"/>
    <w:rsid w:val="2A0F31B3"/>
    <w:rsid w:val="2A2999D0"/>
    <w:rsid w:val="2A2E0EBD"/>
    <w:rsid w:val="2A30A50A"/>
    <w:rsid w:val="2A3A37DB"/>
    <w:rsid w:val="2A4B4BB0"/>
    <w:rsid w:val="2A5311F8"/>
    <w:rsid w:val="2A606B4B"/>
    <w:rsid w:val="2A7D0B1E"/>
    <w:rsid w:val="2A9B50BF"/>
    <w:rsid w:val="2AB8F996"/>
    <w:rsid w:val="2AC16886"/>
    <w:rsid w:val="2AC28E15"/>
    <w:rsid w:val="2AC49414"/>
    <w:rsid w:val="2ADA3476"/>
    <w:rsid w:val="2AE1BB35"/>
    <w:rsid w:val="2AEE6569"/>
    <w:rsid w:val="2B0FA992"/>
    <w:rsid w:val="2B156F3D"/>
    <w:rsid w:val="2B2F4B06"/>
    <w:rsid w:val="2B4FB210"/>
    <w:rsid w:val="2B61DE4B"/>
    <w:rsid w:val="2B74278E"/>
    <w:rsid w:val="2B76182F"/>
    <w:rsid w:val="2B81439E"/>
    <w:rsid w:val="2B968836"/>
    <w:rsid w:val="2B971556"/>
    <w:rsid w:val="2BC4CFE8"/>
    <w:rsid w:val="2BDF113D"/>
    <w:rsid w:val="2BE49F86"/>
    <w:rsid w:val="2C01D2C1"/>
    <w:rsid w:val="2C09AE4D"/>
    <w:rsid w:val="2C09CE9B"/>
    <w:rsid w:val="2C0E1433"/>
    <w:rsid w:val="2C1174B6"/>
    <w:rsid w:val="2C12B851"/>
    <w:rsid w:val="2C14E451"/>
    <w:rsid w:val="2C2F3D66"/>
    <w:rsid w:val="2C35AA6D"/>
    <w:rsid w:val="2C36134F"/>
    <w:rsid w:val="2C422364"/>
    <w:rsid w:val="2C503270"/>
    <w:rsid w:val="2C536BAC"/>
    <w:rsid w:val="2C5AFB3B"/>
    <w:rsid w:val="2C612B1A"/>
    <w:rsid w:val="2C6D9FA9"/>
    <w:rsid w:val="2CB595D6"/>
    <w:rsid w:val="2CBA87DC"/>
    <w:rsid w:val="2CBAB138"/>
    <w:rsid w:val="2CCE285C"/>
    <w:rsid w:val="2CD325E4"/>
    <w:rsid w:val="2CD4AE26"/>
    <w:rsid w:val="2CEE985F"/>
    <w:rsid w:val="2CF556BD"/>
    <w:rsid w:val="2CFA53A2"/>
    <w:rsid w:val="2CFFA5DF"/>
    <w:rsid w:val="2D0A014E"/>
    <w:rsid w:val="2D1174DD"/>
    <w:rsid w:val="2D171DE2"/>
    <w:rsid w:val="2D26926F"/>
    <w:rsid w:val="2D43BE78"/>
    <w:rsid w:val="2D481235"/>
    <w:rsid w:val="2D538CA9"/>
    <w:rsid w:val="2D5A3AE6"/>
    <w:rsid w:val="2D6060BD"/>
    <w:rsid w:val="2D774093"/>
    <w:rsid w:val="2D7FE6E9"/>
    <w:rsid w:val="2D973E8D"/>
    <w:rsid w:val="2D9C3351"/>
    <w:rsid w:val="2DA8E875"/>
    <w:rsid w:val="2DB61BBC"/>
    <w:rsid w:val="2DD3E8BC"/>
    <w:rsid w:val="2DD41957"/>
    <w:rsid w:val="2DD41E0B"/>
    <w:rsid w:val="2DDE8DE4"/>
    <w:rsid w:val="2DE298DA"/>
    <w:rsid w:val="2DF37989"/>
    <w:rsid w:val="2DFF76AE"/>
    <w:rsid w:val="2E1319F7"/>
    <w:rsid w:val="2E2C0B9A"/>
    <w:rsid w:val="2E35FA33"/>
    <w:rsid w:val="2E5AE29B"/>
    <w:rsid w:val="2E5D89FF"/>
    <w:rsid w:val="2E696824"/>
    <w:rsid w:val="2E7DA311"/>
    <w:rsid w:val="2E91F925"/>
    <w:rsid w:val="2EA235F6"/>
    <w:rsid w:val="2EA3AC9B"/>
    <w:rsid w:val="2EA54262"/>
    <w:rsid w:val="2EBC9CDA"/>
    <w:rsid w:val="2EBEC6EE"/>
    <w:rsid w:val="2EBF7758"/>
    <w:rsid w:val="2EC2087D"/>
    <w:rsid w:val="2EC81886"/>
    <w:rsid w:val="2ECCCACA"/>
    <w:rsid w:val="2ED14C28"/>
    <w:rsid w:val="2EE6ECD2"/>
    <w:rsid w:val="2EEBBE51"/>
    <w:rsid w:val="2EFA9D63"/>
    <w:rsid w:val="2F1094C3"/>
    <w:rsid w:val="2F205EA4"/>
    <w:rsid w:val="2F222D6B"/>
    <w:rsid w:val="2F44AAB5"/>
    <w:rsid w:val="2F4C7CC4"/>
    <w:rsid w:val="2F502346"/>
    <w:rsid w:val="2F59FD67"/>
    <w:rsid w:val="2F7ABBCB"/>
    <w:rsid w:val="2F7E09AF"/>
    <w:rsid w:val="2F883500"/>
    <w:rsid w:val="2F8B0C6E"/>
    <w:rsid w:val="2F8B5806"/>
    <w:rsid w:val="2F8CDD41"/>
    <w:rsid w:val="2F9055CB"/>
    <w:rsid w:val="2F9B225A"/>
    <w:rsid w:val="2FC1351B"/>
    <w:rsid w:val="2FCFB803"/>
    <w:rsid w:val="2FD00BDA"/>
    <w:rsid w:val="2FD18FDA"/>
    <w:rsid w:val="2FE5BB90"/>
    <w:rsid w:val="2FE62EC6"/>
    <w:rsid w:val="2FEF0016"/>
    <w:rsid w:val="3033CB9C"/>
    <w:rsid w:val="3051FDF3"/>
    <w:rsid w:val="30520D2D"/>
    <w:rsid w:val="305F2633"/>
    <w:rsid w:val="306D4474"/>
    <w:rsid w:val="30736043"/>
    <w:rsid w:val="3073CB29"/>
    <w:rsid w:val="307DC22A"/>
    <w:rsid w:val="308B9909"/>
    <w:rsid w:val="308C9F11"/>
    <w:rsid w:val="308F1696"/>
    <w:rsid w:val="3092E60C"/>
    <w:rsid w:val="3094BE82"/>
    <w:rsid w:val="30996B99"/>
    <w:rsid w:val="309FD504"/>
    <w:rsid w:val="30A056E6"/>
    <w:rsid w:val="30AF797B"/>
    <w:rsid w:val="30C3B442"/>
    <w:rsid w:val="30CCF551"/>
    <w:rsid w:val="30D4BB09"/>
    <w:rsid w:val="30D948ED"/>
    <w:rsid w:val="30E11055"/>
    <w:rsid w:val="30E58ACF"/>
    <w:rsid w:val="30E7E5D3"/>
    <w:rsid w:val="30F4E17A"/>
    <w:rsid w:val="310F703C"/>
    <w:rsid w:val="311F76A4"/>
    <w:rsid w:val="312DE14B"/>
    <w:rsid w:val="31502F0A"/>
    <w:rsid w:val="3150F182"/>
    <w:rsid w:val="31562B56"/>
    <w:rsid w:val="31622BBF"/>
    <w:rsid w:val="31623AC5"/>
    <w:rsid w:val="317A7E25"/>
    <w:rsid w:val="317AE725"/>
    <w:rsid w:val="31854B54"/>
    <w:rsid w:val="3186B3B9"/>
    <w:rsid w:val="318BD9CA"/>
    <w:rsid w:val="318DB439"/>
    <w:rsid w:val="3197C925"/>
    <w:rsid w:val="31A1308C"/>
    <w:rsid w:val="31AAEB4C"/>
    <w:rsid w:val="31AB663F"/>
    <w:rsid w:val="31B36DC1"/>
    <w:rsid w:val="31B90D9C"/>
    <w:rsid w:val="31C41ACD"/>
    <w:rsid w:val="31C79E0F"/>
    <w:rsid w:val="31E0AC13"/>
    <w:rsid w:val="31F7F7A9"/>
    <w:rsid w:val="3213FCA5"/>
    <w:rsid w:val="321A9FC2"/>
    <w:rsid w:val="323F74C5"/>
    <w:rsid w:val="325A6BB2"/>
    <w:rsid w:val="325FFCD1"/>
    <w:rsid w:val="326866D2"/>
    <w:rsid w:val="328F69CF"/>
    <w:rsid w:val="32A442F1"/>
    <w:rsid w:val="32A65979"/>
    <w:rsid w:val="32AD2B65"/>
    <w:rsid w:val="32AEEF99"/>
    <w:rsid w:val="32B48FFB"/>
    <w:rsid w:val="32CD8847"/>
    <w:rsid w:val="32D15FC2"/>
    <w:rsid w:val="32D43266"/>
    <w:rsid w:val="32D72DDD"/>
    <w:rsid w:val="32DE1A45"/>
    <w:rsid w:val="32FB44D0"/>
    <w:rsid w:val="3304162F"/>
    <w:rsid w:val="33043C87"/>
    <w:rsid w:val="331C47AA"/>
    <w:rsid w:val="331DC33E"/>
    <w:rsid w:val="3327479B"/>
    <w:rsid w:val="332C9AB5"/>
    <w:rsid w:val="333A64DB"/>
    <w:rsid w:val="333F4999"/>
    <w:rsid w:val="33625793"/>
    <w:rsid w:val="3365FEA0"/>
    <w:rsid w:val="3367E3EB"/>
    <w:rsid w:val="337F5EB1"/>
    <w:rsid w:val="33861D6C"/>
    <w:rsid w:val="33876AE1"/>
    <w:rsid w:val="338834AE"/>
    <w:rsid w:val="339900D2"/>
    <w:rsid w:val="33998A8B"/>
    <w:rsid w:val="339A1D00"/>
    <w:rsid w:val="339A2597"/>
    <w:rsid w:val="33AE1BDB"/>
    <w:rsid w:val="33CEBF67"/>
    <w:rsid w:val="33D916B1"/>
    <w:rsid w:val="33DA0D2C"/>
    <w:rsid w:val="33E17415"/>
    <w:rsid w:val="340720F8"/>
    <w:rsid w:val="341248A6"/>
    <w:rsid w:val="34659F25"/>
    <w:rsid w:val="34732988"/>
    <w:rsid w:val="34885A5F"/>
    <w:rsid w:val="3499E503"/>
    <w:rsid w:val="34A2508A"/>
    <w:rsid w:val="34C0547F"/>
    <w:rsid w:val="34C3E29C"/>
    <w:rsid w:val="34CDBFC0"/>
    <w:rsid w:val="34F59D4D"/>
    <w:rsid w:val="3510BD3D"/>
    <w:rsid w:val="3514091D"/>
    <w:rsid w:val="351D27C3"/>
    <w:rsid w:val="353A09FB"/>
    <w:rsid w:val="3542228F"/>
    <w:rsid w:val="35562C6F"/>
    <w:rsid w:val="356F3F27"/>
    <w:rsid w:val="35705643"/>
    <w:rsid w:val="35762D80"/>
    <w:rsid w:val="3595260D"/>
    <w:rsid w:val="35A6043F"/>
    <w:rsid w:val="35AC0FDB"/>
    <w:rsid w:val="35AD4EFF"/>
    <w:rsid w:val="35BBE741"/>
    <w:rsid w:val="35C24FCC"/>
    <w:rsid w:val="35C30557"/>
    <w:rsid w:val="35E4B2D5"/>
    <w:rsid w:val="35E75F5B"/>
    <w:rsid w:val="35E938F7"/>
    <w:rsid w:val="3607977C"/>
    <w:rsid w:val="3607C8CD"/>
    <w:rsid w:val="361AE78C"/>
    <w:rsid w:val="3622512B"/>
    <w:rsid w:val="362864FA"/>
    <w:rsid w:val="362E9748"/>
    <w:rsid w:val="36328185"/>
    <w:rsid w:val="3633FC3C"/>
    <w:rsid w:val="3644458C"/>
    <w:rsid w:val="365FB2FD"/>
    <w:rsid w:val="3676F172"/>
    <w:rsid w:val="36826CB7"/>
    <w:rsid w:val="368A1393"/>
    <w:rsid w:val="368D61E3"/>
    <w:rsid w:val="36924113"/>
    <w:rsid w:val="36A9ABAE"/>
    <w:rsid w:val="36ADC092"/>
    <w:rsid w:val="36AF2B8E"/>
    <w:rsid w:val="36CE336A"/>
    <w:rsid w:val="36CE9004"/>
    <w:rsid w:val="36EFF09A"/>
    <w:rsid w:val="36F24E61"/>
    <w:rsid w:val="36F9AB89"/>
    <w:rsid w:val="3703B8FB"/>
    <w:rsid w:val="370A1516"/>
    <w:rsid w:val="3716BC0C"/>
    <w:rsid w:val="3723F711"/>
    <w:rsid w:val="3734210F"/>
    <w:rsid w:val="373A8782"/>
    <w:rsid w:val="3748B418"/>
    <w:rsid w:val="37532149"/>
    <w:rsid w:val="37687A51"/>
    <w:rsid w:val="3773A459"/>
    <w:rsid w:val="377EAC0B"/>
    <w:rsid w:val="379BA3D1"/>
    <w:rsid w:val="37A452E2"/>
    <w:rsid w:val="37A88F51"/>
    <w:rsid w:val="37B87B14"/>
    <w:rsid w:val="37B8DC65"/>
    <w:rsid w:val="37C134E0"/>
    <w:rsid w:val="37C5488A"/>
    <w:rsid w:val="37C5CE6F"/>
    <w:rsid w:val="37C8688D"/>
    <w:rsid w:val="37F8B96D"/>
    <w:rsid w:val="37FDB0EB"/>
    <w:rsid w:val="38003B69"/>
    <w:rsid w:val="3805297A"/>
    <w:rsid w:val="38204DB7"/>
    <w:rsid w:val="382069BE"/>
    <w:rsid w:val="38287308"/>
    <w:rsid w:val="3829AABF"/>
    <w:rsid w:val="383181CD"/>
    <w:rsid w:val="3839F857"/>
    <w:rsid w:val="38466F33"/>
    <w:rsid w:val="38534998"/>
    <w:rsid w:val="38684D56"/>
    <w:rsid w:val="386862C5"/>
    <w:rsid w:val="3877668B"/>
    <w:rsid w:val="38781275"/>
    <w:rsid w:val="387E6C08"/>
    <w:rsid w:val="387FBB52"/>
    <w:rsid w:val="388E1EC2"/>
    <w:rsid w:val="389E04EB"/>
    <w:rsid w:val="38B46442"/>
    <w:rsid w:val="38C3DD64"/>
    <w:rsid w:val="38CA1D3E"/>
    <w:rsid w:val="38CD9C46"/>
    <w:rsid w:val="38D5B018"/>
    <w:rsid w:val="38DEAF30"/>
    <w:rsid w:val="38DF8578"/>
    <w:rsid w:val="38E65CAC"/>
    <w:rsid w:val="38F08AE1"/>
    <w:rsid w:val="391263BC"/>
    <w:rsid w:val="391781D8"/>
    <w:rsid w:val="391ACA98"/>
    <w:rsid w:val="39300883"/>
    <w:rsid w:val="393822FD"/>
    <w:rsid w:val="39425ADA"/>
    <w:rsid w:val="39434B01"/>
    <w:rsid w:val="39517A9D"/>
    <w:rsid w:val="39563C07"/>
    <w:rsid w:val="395E5259"/>
    <w:rsid w:val="396438EE"/>
    <w:rsid w:val="396E13C2"/>
    <w:rsid w:val="396E51E4"/>
    <w:rsid w:val="3972FEA1"/>
    <w:rsid w:val="3985739C"/>
    <w:rsid w:val="3991E936"/>
    <w:rsid w:val="39990142"/>
    <w:rsid w:val="399C5926"/>
    <w:rsid w:val="39A4B5EB"/>
    <w:rsid w:val="39CCE763"/>
    <w:rsid w:val="39E42E60"/>
    <w:rsid w:val="39E9EA64"/>
    <w:rsid w:val="39EBBDF8"/>
    <w:rsid w:val="39F6243D"/>
    <w:rsid w:val="3A041DB7"/>
    <w:rsid w:val="3A09B346"/>
    <w:rsid w:val="3A306304"/>
    <w:rsid w:val="3A362124"/>
    <w:rsid w:val="3A36CA29"/>
    <w:rsid w:val="3A3B66DD"/>
    <w:rsid w:val="3A3D7C60"/>
    <w:rsid w:val="3A40ACFE"/>
    <w:rsid w:val="3A541BF2"/>
    <w:rsid w:val="3A5BCA87"/>
    <w:rsid w:val="3A60F7DD"/>
    <w:rsid w:val="3A628220"/>
    <w:rsid w:val="3A68751F"/>
    <w:rsid w:val="3A6A2433"/>
    <w:rsid w:val="3A6DF407"/>
    <w:rsid w:val="3A719166"/>
    <w:rsid w:val="3A748F3C"/>
    <w:rsid w:val="3A78C55F"/>
    <w:rsid w:val="3AB9BD02"/>
    <w:rsid w:val="3ABEF533"/>
    <w:rsid w:val="3AC0331B"/>
    <w:rsid w:val="3AC7E800"/>
    <w:rsid w:val="3ACE54FF"/>
    <w:rsid w:val="3AD27B0B"/>
    <w:rsid w:val="3AD861CE"/>
    <w:rsid w:val="3AF53C88"/>
    <w:rsid w:val="3B007B67"/>
    <w:rsid w:val="3B07E0AA"/>
    <w:rsid w:val="3B1618EE"/>
    <w:rsid w:val="3B235BA8"/>
    <w:rsid w:val="3B2CB7B0"/>
    <w:rsid w:val="3B2DCB89"/>
    <w:rsid w:val="3B349DB2"/>
    <w:rsid w:val="3B34D1A3"/>
    <w:rsid w:val="3B40E983"/>
    <w:rsid w:val="3B461ECD"/>
    <w:rsid w:val="3B51140A"/>
    <w:rsid w:val="3B5C81D1"/>
    <w:rsid w:val="3B5DE295"/>
    <w:rsid w:val="3B6DAEC6"/>
    <w:rsid w:val="3B7A61D5"/>
    <w:rsid w:val="3B7A6EBF"/>
    <w:rsid w:val="3B7B4ACF"/>
    <w:rsid w:val="3B8752C6"/>
    <w:rsid w:val="3B89A126"/>
    <w:rsid w:val="3BA5ED04"/>
    <w:rsid w:val="3BBD0426"/>
    <w:rsid w:val="3BCDBE4B"/>
    <w:rsid w:val="3BDA98F1"/>
    <w:rsid w:val="3BE7A4AA"/>
    <w:rsid w:val="3BEFBD2F"/>
    <w:rsid w:val="3BFD4BCE"/>
    <w:rsid w:val="3C0B5CA7"/>
    <w:rsid w:val="3C0F522D"/>
    <w:rsid w:val="3C100EBE"/>
    <w:rsid w:val="3C1F4B68"/>
    <w:rsid w:val="3C22E600"/>
    <w:rsid w:val="3C2C3A5A"/>
    <w:rsid w:val="3C2D518F"/>
    <w:rsid w:val="3C32A58B"/>
    <w:rsid w:val="3C33F4C2"/>
    <w:rsid w:val="3C387C24"/>
    <w:rsid w:val="3C4816B0"/>
    <w:rsid w:val="3C4F0BF0"/>
    <w:rsid w:val="3C573ACC"/>
    <w:rsid w:val="3C613EB4"/>
    <w:rsid w:val="3C6C0505"/>
    <w:rsid w:val="3C72F0D7"/>
    <w:rsid w:val="3C7E706A"/>
    <w:rsid w:val="3C86FCEF"/>
    <w:rsid w:val="3C8D0084"/>
    <w:rsid w:val="3C955C61"/>
    <w:rsid w:val="3C97A940"/>
    <w:rsid w:val="3CA696C4"/>
    <w:rsid w:val="3CA6E905"/>
    <w:rsid w:val="3CA6F77A"/>
    <w:rsid w:val="3CA8CD66"/>
    <w:rsid w:val="3CB2DCF3"/>
    <w:rsid w:val="3CBD4B88"/>
    <w:rsid w:val="3CC1BBB3"/>
    <w:rsid w:val="3CE08FDF"/>
    <w:rsid w:val="3CE1DAC0"/>
    <w:rsid w:val="3CE5347D"/>
    <w:rsid w:val="3CF3DFE0"/>
    <w:rsid w:val="3CF8F054"/>
    <w:rsid w:val="3CFCDA55"/>
    <w:rsid w:val="3D03D817"/>
    <w:rsid w:val="3D0862A8"/>
    <w:rsid w:val="3D1ACE4F"/>
    <w:rsid w:val="3D2029C8"/>
    <w:rsid w:val="3D2476E5"/>
    <w:rsid w:val="3D4107DD"/>
    <w:rsid w:val="3D469B01"/>
    <w:rsid w:val="3D473F4E"/>
    <w:rsid w:val="3D4D5997"/>
    <w:rsid w:val="3D5A192D"/>
    <w:rsid w:val="3D5DAD58"/>
    <w:rsid w:val="3D602E3D"/>
    <w:rsid w:val="3D703B1F"/>
    <w:rsid w:val="3D739E9E"/>
    <w:rsid w:val="3D90FC73"/>
    <w:rsid w:val="3D910E4F"/>
    <w:rsid w:val="3D9BA56A"/>
    <w:rsid w:val="3D9CD374"/>
    <w:rsid w:val="3DA50469"/>
    <w:rsid w:val="3DABF40B"/>
    <w:rsid w:val="3DBC227A"/>
    <w:rsid w:val="3DC0AB50"/>
    <w:rsid w:val="3DC84043"/>
    <w:rsid w:val="3DCDC2DA"/>
    <w:rsid w:val="3DCE5970"/>
    <w:rsid w:val="3DD0F48A"/>
    <w:rsid w:val="3DDB64EE"/>
    <w:rsid w:val="3DE04867"/>
    <w:rsid w:val="3DE095C1"/>
    <w:rsid w:val="3DED59F7"/>
    <w:rsid w:val="3DEF3ADF"/>
    <w:rsid w:val="3DFB7E8C"/>
    <w:rsid w:val="3E0E8F9B"/>
    <w:rsid w:val="3E10CAC8"/>
    <w:rsid w:val="3E146507"/>
    <w:rsid w:val="3E17DF2A"/>
    <w:rsid w:val="3E1D2EF0"/>
    <w:rsid w:val="3E309A5B"/>
    <w:rsid w:val="3E351B77"/>
    <w:rsid w:val="3E35DB99"/>
    <w:rsid w:val="3E44B512"/>
    <w:rsid w:val="3E52F1C4"/>
    <w:rsid w:val="3E5645BD"/>
    <w:rsid w:val="3E621F94"/>
    <w:rsid w:val="3E6831F4"/>
    <w:rsid w:val="3E742F7F"/>
    <w:rsid w:val="3E7CE4CF"/>
    <w:rsid w:val="3E7E4E78"/>
    <w:rsid w:val="3E91BDB6"/>
    <w:rsid w:val="3EB3816B"/>
    <w:rsid w:val="3EBB81B7"/>
    <w:rsid w:val="3EC65403"/>
    <w:rsid w:val="3EEC67C5"/>
    <w:rsid w:val="3EF8362C"/>
    <w:rsid w:val="3EF9324B"/>
    <w:rsid w:val="3EFDFA60"/>
    <w:rsid w:val="3F0C794A"/>
    <w:rsid w:val="3F2D4CF4"/>
    <w:rsid w:val="3F3C7CA8"/>
    <w:rsid w:val="3F435B7D"/>
    <w:rsid w:val="3F522A2C"/>
    <w:rsid w:val="3F661234"/>
    <w:rsid w:val="3F677BAC"/>
    <w:rsid w:val="3F6A5910"/>
    <w:rsid w:val="3F7178AC"/>
    <w:rsid w:val="3F7E7118"/>
    <w:rsid w:val="3F7E7F66"/>
    <w:rsid w:val="3F8D8D59"/>
    <w:rsid w:val="3F921568"/>
    <w:rsid w:val="3F9B8F70"/>
    <w:rsid w:val="3FAA7200"/>
    <w:rsid w:val="3FBACF10"/>
    <w:rsid w:val="3FC234A7"/>
    <w:rsid w:val="3FC2A17C"/>
    <w:rsid w:val="3FC9DC15"/>
    <w:rsid w:val="3FD4DA42"/>
    <w:rsid w:val="3FE98FDB"/>
    <w:rsid w:val="3FEA4804"/>
    <w:rsid w:val="3FECD4A5"/>
    <w:rsid w:val="40040573"/>
    <w:rsid w:val="40167BAB"/>
    <w:rsid w:val="4020627A"/>
    <w:rsid w:val="4025DB5A"/>
    <w:rsid w:val="4029140B"/>
    <w:rsid w:val="402B63FC"/>
    <w:rsid w:val="403F1A79"/>
    <w:rsid w:val="406338C9"/>
    <w:rsid w:val="40780C28"/>
    <w:rsid w:val="407D49D1"/>
    <w:rsid w:val="4082DC05"/>
    <w:rsid w:val="408F8AC3"/>
    <w:rsid w:val="40996790"/>
    <w:rsid w:val="40AEA4E0"/>
    <w:rsid w:val="40B0A3D6"/>
    <w:rsid w:val="40B17CA0"/>
    <w:rsid w:val="40B57872"/>
    <w:rsid w:val="40BBF0B2"/>
    <w:rsid w:val="40CF0B83"/>
    <w:rsid w:val="40E5722A"/>
    <w:rsid w:val="40E97299"/>
    <w:rsid w:val="40FD2391"/>
    <w:rsid w:val="4103DA57"/>
    <w:rsid w:val="410D6C47"/>
    <w:rsid w:val="410FBB40"/>
    <w:rsid w:val="41163EDF"/>
    <w:rsid w:val="411A12E7"/>
    <w:rsid w:val="4125FAF8"/>
    <w:rsid w:val="412950B3"/>
    <w:rsid w:val="41377879"/>
    <w:rsid w:val="4140C4BC"/>
    <w:rsid w:val="414539B7"/>
    <w:rsid w:val="4147CE53"/>
    <w:rsid w:val="414FE493"/>
    <w:rsid w:val="4160B11B"/>
    <w:rsid w:val="416CD5DB"/>
    <w:rsid w:val="41779937"/>
    <w:rsid w:val="41783D8F"/>
    <w:rsid w:val="41784D12"/>
    <w:rsid w:val="41B2FFCA"/>
    <w:rsid w:val="41CBA9CF"/>
    <w:rsid w:val="41CC3B2F"/>
    <w:rsid w:val="41D3BF40"/>
    <w:rsid w:val="41DF2DCA"/>
    <w:rsid w:val="41E53184"/>
    <w:rsid w:val="41E835FE"/>
    <w:rsid w:val="41F1CF9F"/>
    <w:rsid w:val="41F7B588"/>
    <w:rsid w:val="41F82786"/>
    <w:rsid w:val="4200CD8A"/>
    <w:rsid w:val="4218C804"/>
    <w:rsid w:val="421F523F"/>
    <w:rsid w:val="4226A052"/>
    <w:rsid w:val="422AB7AC"/>
    <w:rsid w:val="422DA718"/>
    <w:rsid w:val="423118DF"/>
    <w:rsid w:val="4239659D"/>
    <w:rsid w:val="423DF046"/>
    <w:rsid w:val="4253C274"/>
    <w:rsid w:val="4255E338"/>
    <w:rsid w:val="42603204"/>
    <w:rsid w:val="4266FD95"/>
    <w:rsid w:val="42698753"/>
    <w:rsid w:val="427C818E"/>
    <w:rsid w:val="427E8459"/>
    <w:rsid w:val="428A5E06"/>
    <w:rsid w:val="4293E7E2"/>
    <w:rsid w:val="429C2C38"/>
    <w:rsid w:val="42A21FD3"/>
    <w:rsid w:val="42D02E36"/>
    <w:rsid w:val="42E79CDE"/>
    <w:rsid w:val="42EDC76F"/>
    <w:rsid w:val="42FAD0D2"/>
    <w:rsid w:val="4302B67B"/>
    <w:rsid w:val="430575B5"/>
    <w:rsid w:val="43080208"/>
    <w:rsid w:val="43155D33"/>
    <w:rsid w:val="4317E3E1"/>
    <w:rsid w:val="4321CC08"/>
    <w:rsid w:val="432338CE"/>
    <w:rsid w:val="43427F41"/>
    <w:rsid w:val="4345BCC4"/>
    <w:rsid w:val="43680B90"/>
    <w:rsid w:val="436831D8"/>
    <w:rsid w:val="4369322B"/>
    <w:rsid w:val="436EBB82"/>
    <w:rsid w:val="438965AB"/>
    <w:rsid w:val="4392D399"/>
    <w:rsid w:val="4398F898"/>
    <w:rsid w:val="439DB142"/>
    <w:rsid w:val="439DE9C5"/>
    <w:rsid w:val="43A2A1E9"/>
    <w:rsid w:val="43A534AD"/>
    <w:rsid w:val="43C5D4F2"/>
    <w:rsid w:val="43CA07B5"/>
    <w:rsid w:val="43D2F779"/>
    <w:rsid w:val="43E26D53"/>
    <w:rsid w:val="43EA4CBB"/>
    <w:rsid w:val="43EF4F81"/>
    <w:rsid w:val="4402E516"/>
    <w:rsid w:val="44144C58"/>
    <w:rsid w:val="44167CA5"/>
    <w:rsid w:val="44263FB9"/>
    <w:rsid w:val="443A1865"/>
    <w:rsid w:val="443EF266"/>
    <w:rsid w:val="4456C351"/>
    <w:rsid w:val="445C2ABE"/>
    <w:rsid w:val="445E9748"/>
    <w:rsid w:val="4468FA47"/>
    <w:rsid w:val="446A7E2E"/>
    <w:rsid w:val="44718E3D"/>
    <w:rsid w:val="44738355"/>
    <w:rsid w:val="4475531B"/>
    <w:rsid w:val="447B1CD3"/>
    <w:rsid w:val="447C464A"/>
    <w:rsid w:val="448E3A53"/>
    <w:rsid w:val="44965F3E"/>
    <w:rsid w:val="4497FFFA"/>
    <w:rsid w:val="449AF22C"/>
    <w:rsid w:val="449B753F"/>
    <w:rsid w:val="44A186B0"/>
    <w:rsid w:val="44A6EB95"/>
    <w:rsid w:val="44C3392F"/>
    <w:rsid w:val="44C4139C"/>
    <w:rsid w:val="44D1DE31"/>
    <w:rsid w:val="44D410F4"/>
    <w:rsid w:val="44EAB394"/>
    <w:rsid w:val="44EDC411"/>
    <w:rsid w:val="44F258FE"/>
    <w:rsid w:val="44FA1A5A"/>
    <w:rsid w:val="450230BC"/>
    <w:rsid w:val="45053C7E"/>
    <w:rsid w:val="45061A88"/>
    <w:rsid w:val="4508E859"/>
    <w:rsid w:val="451598FB"/>
    <w:rsid w:val="451A4FC9"/>
    <w:rsid w:val="45224498"/>
    <w:rsid w:val="45283DB0"/>
    <w:rsid w:val="45346B0A"/>
    <w:rsid w:val="454298BE"/>
    <w:rsid w:val="45455AFF"/>
    <w:rsid w:val="454CC00A"/>
    <w:rsid w:val="4557B0A0"/>
    <w:rsid w:val="4560C127"/>
    <w:rsid w:val="4566DE9F"/>
    <w:rsid w:val="457110DA"/>
    <w:rsid w:val="45759108"/>
    <w:rsid w:val="4585C1CF"/>
    <w:rsid w:val="45D23EA8"/>
    <w:rsid w:val="45D6858E"/>
    <w:rsid w:val="45DE869A"/>
    <w:rsid w:val="45F79EB2"/>
    <w:rsid w:val="460235DA"/>
    <w:rsid w:val="4605DF50"/>
    <w:rsid w:val="461240A0"/>
    <w:rsid w:val="46185F0C"/>
    <w:rsid w:val="46204C96"/>
    <w:rsid w:val="46204E12"/>
    <w:rsid w:val="46208FCD"/>
    <w:rsid w:val="4631F6AC"/>
    <w:rsid w:val="4641BA4B"/>
    <w:rsid w:val="464B815F"/>
    <w:rsid w:val="4659BF39"/>
    <w:rsid w:val="46633EEB"/>
    <w:rsid w:val="466DB76B"/>
    <w:rsid w:val="466E0FB6"/>
    <w:rsid w:val="466EA4D4"/>
    <w:rsid w:val="4685F3D6"/>
    <w:rsid w:val="468C0163"/>
    <w:rsid w:val="4695D35A"/>
    <w:rsid w:val="469A5C88"/>
    <w:rsid w:val="46A23AFE"/>
    <w:rsid w:val="46A9B898"/>
    <w:rsid w:val="46C36303"/>
    <w:rsid w:val="46C73BD0"/>
    <w:rsid w:val="46CF1986"/>
    <w:rsid w:val="46CFF030"/>
    <w:rsid w:val="46D54DA4"/>
    <w:rsid w:val="46D9ED3A"/>
    <w:rsid w:val="4708722B"/>
    <w:rsid w:val="47145F3E"/>
    <w:rsid w:val="471B85A3"/>
    <w:rsid w:val="47277F3E"/>
    <w:rsid w:val="472FD7CC"/>
    <w:rsid w:val="473129DE"/>
    <w:rsid w:val="4745E5AF"/>
    <w:rsid w:val="474D5DFC"/>
    <w:rsid w:val="47573F39"/>
    <w:rsid w:val="4763A0BC"/>
    <w:rsid w:val="4773300C"/>
    <w:rsid w:val="477352B3"/>
    <w:rsid w:val="4776D95F"/>
    <w:rsid w:val="478505B4"/>
    <w:rsid w:val="4785D8DD"/>
    <w:rsid w:val="478773D1"/>
    <w:rsid w:val="47888253"/>
    <w:rsid w:val="4793CB80"/>
    <w:rsid w:val="4797D220"/>
    <w:rsid w:val="47A46A91"/>
    <w:rsid w:val="47C09D09"/>
    <w:rsid w:val="47C33D50"/>
    <w:rsid w:val="47C7837B"/>
    <w:rsid w:val="47D167BE"/>
    <w:rsid w:val="47E413EC"/>
    <w:rsid w:val="48016870"/>
    <w:rsid w:val="48105016"/>
    <w:rsid w:val="48251182"/>
    <w:rsid w:val="48343D66"/>
    <w:rsid w:val="4834970B"/>
    <w:rsid w:val="483869BF"/>
    <w:rsid w:val="483B8245"/>
    <w:rsid w:val="484FAC86"/>
    <w:rsid w:val="484FD1CF"/>
    <w:rsid w:val="4852929B"/>
    <w:rsid w:val="485C8F9E"/>
    <w:rsid w:val="485F70DC"/>
    <w:rsid w:val="485F87E1"/>
    <w:rsid w:val="486BE7A0"/>
    <w:rsid w:val="487C091C"/>
    <w:rsid w:val="48808488"/>
    <w:rsid w:val="48882E25"/>
    <w:rsid w:val="48883C59"/>
    <w:rsid w:val="48899F07"/>
    <w:rsid w:val="488FA2EC"/>
    <w:rsid w:val="489BFC3D"/>
    <w:rsid w:val="489FC222"/>
    <w:rsid w:val="48CBE7B2"/>
    <w:rsid w:val="48DB831E"/>
    <w:rsid w:val="48F83791"/>
    <w:rsid w:val="4907EB70"/>
    <w:rsid w:val="4917BC6C"/>
    <w:rsid w:val="491F6F3B"/>
    <w:rsid w:val="4927E8EA"/>
    <w:rsid w:val="4933E318"/>
    <w:rsid w:val="4942597F"/>
    <w:rsid w:val="49566390"/>
    <w:rsid w:val="495D3055"/>
    <w:rsid w:val="49672655"/>
    <w:rsid w:val="4970FAA8"/>
    <w:rsid w:val="497FBFF7"/>
    <w:rsid w:val="498A98A2"/>
    <w:rsid w:val="498B3952"/>
    <w:rsid w:val="49991B85"/>
    <w:rsid w:val="49A7EAE1"/>
    <w:rsid w:val="49ACB70F"/>
    <w:rsid w:val="49B2AF33"/>
    <w:rsid w:val="49B94FB5"/>
    <w:rsid w:val="49C3C8F3"/>
    <w:rsid w:val="49D43A20"/>
    <w:rsid w:val="49D5A0A1"/>
    <w:rsid w:val="49D66907"/>
    <w:rsid w:val="49DEA4C5"/>
    <w:rsid w:val="49F08E0B"/>
    <w:rsid w:val="49FA22DF"/>
    <w:rsid w:val="49FE923C"/>
    <w:rsid w:val="4A008F5A"/>
    <w:rsid w:val="4A02D1B4"/>
    <w:rsid w:val="4A09CEB2"/>
    <w:rsid w:val="4A10CC81"/>
    <w:rsid w:val="4A1C9A06"/>
    <w:rsid w:val="4A3035CE"/>
    <w:rsid w:val="4A3897EA"/>
    <w:rsid w:val="4A407C0D"/>
    <w:rsid w:val="4A493B91"/>
    <w:rsid w:val="4A5F2000"/>
    <w:rsid w:val="4A60FB12"/>
    <w:rsid w:val="4A622E1F"/>
    <w:rsid w:val="4A75DA60"/>
    <w:rsid w:val="4A787579"/>
    <w:rsid w:val="4A78BF87"/>
    <w:rsid w:val="4AA76921"/>
    <w:rsid w:val="4AAEE6C4"/>
    <w:rsid w:val="4ACCB3B8"/>
    <w:rsid w:val="4ACD20DF"/>
    <w:rsid w:val="4ACD6480"/>
    <w:rsid w:val="4ADC0C2B"/>
    <w:rsid w:val="4AE2C46B"/>
    <w:rsid w:val="4AE9F71F"/>
    <w:rsid w:val="4B00CA52"/>
    <w:rsid w:val="4B04745F"/>
    <w:rsid w:val="4B106866"/>
    <w:rsid w:val="4B18F447"/>
    <w:rsid w:val="4B21102D"/>
    <w:rsid w:val="4B226350"/>
    <w:rsid w:val="4B297C07"/>
    <w:rsid w:val="4B2FA0E1"/>
    <w:rsid w:val="4B3D074C"/>
    <w:rsid w:val="4B422882"/>
    <w:rsid w:val="4B43A5F0"/>
    <w:rsid w:val="4B55ED7B"/>
    <w:rsid w:val="4B5E59A6"/>
    <w:rsid w:val="4B6E2941"/>
    <w:rsid w:val="4B7A4EB4"/>
    <w:rsid w:val="4B8323FF"/>
    <w:rsid w:val="4B9171B3"/>
    <w:rsid w:val="4B98B1E5"/>
    <w:rsid w:val="4BA2C7FD"/>
    <w:rsid w:val="4BA6D28A"/>
    <w:rsid w:val="4BB59D48"/>
    <w:rsid w:val="4BBEFCE0"/>
    <w:rsid w:val="4BDCB79E"/>
    <w:rsid w:val="4BDF925D"/>
    <w:rsid w:val="4BE12E50"/>
    <w:rsid w:val="4BE4D28C"/>
    <w:rsid w:val="4BE8278F"/>
    <w:rsid w:val="4BEED73B"/>
    <w:rsid w:val="4C08DA73"/>
    <w:rsid w:val="4C0F75BB"/>
    <w:rsid w:val="4C151809"/>
    <w:rsid w:val="4C2C00EC"/>
    <w:rsid w:val="4C68BD59"/>
    <w:rsid w:val="4C6D7A2F"/>
    <w:rsid w:val="4C7363A7"/>
    <w:rsid w:val="4C850DFA"/>
    <w:rsid w:val="4C91E570"/>
    <w:rsid w:val="4C968257"/>
    <w:rsid w:val="4CA96FEB"/>
    <w:rsid w:val="4CADBC91"/>
    <w:rsid w:val="4CC4BFAD"/>
    <w:rsid w:val="4CD493C1"/>
    <w:rsid w:val="4CD76474"/>
    <w:rsid w:val="4CDD7C7E"/>
    <w:rsid w:val="4CDDA286"/>
    <w:rsid w:val="4CE457D1"/>
    <w:rsid w:val="4D001CDE"/>
    <w:rsid w:val="4D0E4D6E"/>
    <w:rsid w:val="4D19B866"/>
    <w:rsid w:val="4D27E42B"/>
    <w:rsid w:val="4D342893"/>
    <w:rsid w:val="4D3C82E7"/>
    <w:rsid w:val="4D4144D9"/>
    <w:rsid w:val="4D512AE0"/>
    <w:rsid w:val="4D56C61E"/>
    <w:rsid w:val="4D72EE52"/>
    <w:rsid w:val="4D774E26"/>
    <w:rsid w:val="4D7ED74C"/>
    <w:rsid w:val="4D8D1261"/>
    <w:rsid w:val="4DAD7F63"/>
    <w:rsid w:val="4DB43B98"/>
    <w:rsid w:val="4DC9C696"/>
    <w:rsid w:val="4DEA6D6A"/>
    <w:rsid w:val="4DF6D751"/>
    <w:rsid w:val="4E12FD83"/>
    <w:rsid w:val="4E1332DF"/>
    <w:rsid w:val="4E18A3EE"/>
    <w:rsid w:val="4E1DB17B"/>
    <w:rsid w:val="4E21367F"/>
    <w:rsid w:val="4E263B30"/>
    <w:rsid w:val="4E2833D8"/>
    <w:rsid w:val="4E2F5927"/>
    <w:rsid w:val="4E3183A5"/>
    <w:rsid w:val="4E36DB40"/>
    <w:rsid w:val="4E39257B"/>
    <w:rsid w:val="4E3F320B"/>
    <w:rsid w:val="4E407177"/>
    <w:rsid w:val="4E42FDAC"/>
    <w:rsid w:val="4E4844E4"/>
    <w:rsid w:val="4E50CC36"/>
    <w:rsid w:val="4E5566A5"/>
    <w:rsid w:val="4E6A0D70"/>
    <w:rsid w:val="4E71E73D"/>
    <w:rsid w:val="4E73517B"/>
    <w:rsid w:val="4E7903FB"/>
    <w:rsid w:val="4E883AF3"/>
    <w:rsid w:val="4E92C65D"/>
    <w:rsid w:val="4E97AE54"/>
    <w:rsid w:val="4E9A865B"/>
    <w:rsid w:val="4EADCC29"/>
    <w:rsid w:val="4EB607D8"/>
    <w:rsid w:val="4EC730F4"/>
    <w:rsid w:val="4EC8A3E1"/>
    <w:rsid w:val="4ECBC24B"/>
    <w:rsid w:val="4ED8E298"/>
    <w:rsid w:val="4EF2C273"/>
    <w:rsid w:val="4EF30785"/>
    <w:rsid w:val="4EF3DAFB"/>
    <w:rsid w:val="4EFEEF53"/>
    <w:rsid w:val="4EFF6D35"/>
    <w:rsid w:val="4F1759AA"/>
    <w:rsid w:val="4F311BF1"/>
    <w:rsid w:val="4F323766"/>
    <w:rsid w:val="4F370DCC"/>
    <w:rsid w:val="4F5459F5"/>
    <w:rsid w:val="4F589411"/>
    <w:rsid w:val="4F5CC45C"/>
    <w:rsid w:val="4F623430"/>
    <w:rsid w:val="4F674A2D"/>
    <w:rsid w:val="4F692F8A"/>
    <w:rsid w:val="4F78F155"/>
    <w:rsid w:val="4F849031"/>
    <w:rsid w:val="4F87F091"/>
    <w:rsid w:val="4F9588E1"/>
    <w:rsid w:val="4F9F8B4B"/>
    <w:rsid w:val="4F9FA1E5"/>
    <w:rsid w:val="4FD02DDE"/>
    <w:rsid w:val="4FE0F9AC"/>
    <w:rsid w:val="4FEC1F81"/>
    <w:rsid w:val="4FFF1AF2"/>
    <w:rsid w:val="5011AA02"/>
    <w:rsid w:val="501D9F93"/>
    <w:rsid w:val="50207A75"/>
    <w:rsid w:val="502D8C83"/>
    <w:rsid w:val="503C685A"/>
    <w:rsid w:val="5049DD15"/>
    <w:rsid w:val="504CA8F5"/>
    <w:rsid w:val="504FDD24"/>
    <w:rsid w:val="50510600"/>
    <w:rsid w:val="5066B129"/>
    <w:rsid w:val="506CF1B1"/>
    <w:rsid w:val="506FD369"/>
    <w:rsid w:val="507E5FEC"/>
    <w:rsid w:val="507FBD22"/>
    <w:rsid w:val="5083DE29"/>
    <w:rsid w:val="50854B65"/>
    <w:rsid w:val="508D9B3C"/>
    <w:rsid w:val="5093989B"/>
    <w:rsid w:val="50968945"/>
    <w:rsid w:val="50A1D810"/>
    <w:rsid w:val="50D52110"/>
    <w:rsid w:val="50E8F8E4"/>
    <w:rsid w:val="50EC1EF7"/>
    <w:rsid w:val="50F65784"/>
    <w:rsid w:val="50FC59DB"/>
    <w:rsid w:val="510087EA"/>
    <w:rsid w:val="5104A1BF"/>
    <w:rsid w:val="510A001E"/>
    <w:rsid w:val="511228DC"/>
    <w:rsid w:val="511BC449"/>
    <w:rsid w:val="51617575"/>
    <w:rsid w:val="516A6EF5"/>
    <w:rsid w:val="517A4192"/>
    <w:rsid w:val="517CB2B6"/>
    <w:rsid w:val="51863101"/>
    <w:rsid w:val="51947C01"/>
    <w:rsid w:val="5195BB57"/>
    <w:rsid w:val="51A103FF"/>
    <w:rsid w:val="51A26EE1"/>
    <w:rsid w:val="51B04B19"/>
    <w:rsid w:val="51C4315F"/>
    <w:rsid w:val="51C55422"/>
    <w:rsid w:val="51C8EE9B"/>
    <w:rsid w:val="51E944FF"/>
    <w:rsid w:val="51EA3630"/>
    <w:rsid w:val="5204A8EF"/>
    <w:rsid w:val="522A3741"/>
    <w:rsid w:val="52401178"/>
    <w:rsid w:val="52466734"/>
    <w:rsid w:val="5247A02B"/>
    <w:rsid w:val="525B1B03"/>
    <w:rsid w:val="525E1D51"/>
    <w:rsid w:val="526206B9"/>
    <w:rsid w:val="527BAFAE"/>
    <w:rsid w:val="52842EA4"/>
    <w:rsid w:val="529D980B"/>
    <w:rsid w:val="529F7CAE"/>
    <w:rsid w:val="52A29105"/>
    <w:rsid w:val="52B03377"/>
    <w:rsid w:val="52B9A3CC"/>
    <w:rsid w:val="52C5E302"/>
    <w:rsid w:val="531EF5B4"/>
    <w:rsid w:val="534472CC"/>
    <w:rsid w:val="534E5B2F"/>
    <w:rsid w:val="5361C420"/>
    <w:rsid w:val="53680558"/>
    <w:rsid w:val="538256B1"/>
    <w:rsid w:val="53900272"/>
    <w:rsid w:val="53AC704D"/>
    <w:rsid w:val="53B1D3B2"/>
    <w:rsid w:val="53BA6B3C"/>
    <w:rsid w:val="53D57BEC"/>
    <w:rsid w:val="53E2E023"/>
    <w:rsid w:val="53F108C9"/>
    <w:rsid w:val="53F4B91E"/>
    <w:rsid w:val="53F63FF5"/>
    <w:rsid w:val="53FBD994"/>
    <w:rsid w:val="540D4D6C"/>
    <w:rsid w:val="540E82F7"/>
    <w:rsid w:val="540F1BA6"/>
    <w:rsid w:val="541E0530"/>
    <w:rsid w:val="5420BBE0"/>
    <w:rsid w:val="5434C04E"/>
    <w:rsid w:val="5438A080"/>
    <w:rsid w:val="54408691"/>
    <w:rsid w:val="5444B9AB"/>
    <w:rsid w:val="545290C6"/>
    <w:rsid w:val="546CAE12"/>
    <w:rsid w:val="547585D7"/>
    <w:rsid w:val="5482E78C"/>
    <w:rsid w:val="549D99F4"/>
    <w:rsid w:val="54A7CB6A"/>
    <w:rsid w:val="54A7D082"/>
    <w:rsid w:val="54AAA964"/>
    <w:rsid w:val="54BD524D"/>
    <w:rsid w:val="54C5B518"/>
    <w:rsid w:val="54CE6ACF"/>
    <w:rsid w:val="54CFDC30"/>
    <w:rsid w:val="54D768B0"/>
    <w:rsid w:val="54E3A764"/>
    <w:rsid w:val="54F81569"/>
    <w:rsid w:val="54F8C98A"/>
    <w:rsid w:val="54FBB027"/>
    <w:rsid w:val="551A2A20"/>
    <w:rsid w:val="55226D05"/>
    <w:rsid w:val="552E5954"/>
    <w:rsid w:val="553B388D"/>
    <w:rsid w:val="55415362"/>
    <w:rsid w:val="5546FF80"/>
    <w:rsid w:val="554973B7"/>
    <w:rsid w:val="554FDDF0"/>
    <w:rsid w:val="5551BC6C"/>
    <w:rsid w:val="55604F60"/>
    <w:rsid w:val="556989B5"/>
    <w:rsid w:val="5573D6EB"/>
    <w:rsid w:val="557B0AF9"/>
    <w:rsid w:val="557BA659"/>
    <w:rsid w:val="55A82980"/>
    <w:rsid w:val="55AA379B"/>
    <w:rsid w:val="55AE3064"/>
    <w:rsid w:val="55AE836F"/>
    <w:rsid w:val="55B03819"/>
    <w:rsid w:val="55B5497E"/>
    <w:rsid w:val="55BB1451"/>
    <w:rsid w:val="55C3D3C0"/>
    <w:rsid w:val="55D26C7A"/>
    <w:rsid w:val="55DB9956"/>
    <w:rsid w:val="55F79F96"/>
    <w:rsid w:val="55F9DB1C"/>
    <w:rsid w:val="56013A4C"/>
    <w:rsid w:val="560FF247"/>
    <w:rsid w:val="56454BCF"/>
    <w:rsid w:val="567CDE37"/>
    <w:rsid w:val="567DCB9F"/>
    <w:rsid w:val="567F750E"/>
    <w:rsid w:val="56822491"/>
    <w:rsid w:val="569CE2B4"/>
    <w:rsid w:val="56BED4D1"/>
    <w:rsid w:val="56BF5A0E"/>
    <w:rsid w:val="56C65232"/>
    <w:rsid w:val="56CFC8FD"/>
    <w:rsid w:val="56F47454"/>
    <w:rsid w:val="56FDA864"/>
    <w:rsid w:val="56FE8FD8"/>
    <w:rsid w:val="5700A83B"/>
    <w:rsid w:val="570402C2"/>
    <w:rsid w:val="5706B59A"/>
    <w:rsid w:val="57141416"/>
    <w:rsid w:val="57177DC5"/>
    <w:rsid w:val="571FEC3C"/>
    <w:rsid w:val="573A5098"/>
    <w:rsid w:val="573EDC8D"/>
    <w:rsid w:val="5740F7E3"/>
    <w:rsid w:val="575D1A47"/>
    <w:rsid w:val="5762F03F"/>
    <w:rsid w:val="576B17E3"/>
    <w:rsid w:val="577C9ECB"/>
    <w:rsid w:val="577CAB3E"/>
    <w:rsid w:val="5788184F"/>
    <w:rsid w:val="5791F21C"/>
    <w:rsid w:val="579D9676"/>
    <w:rsid w:val="57A18022"/>
    <w:rsid w:val="57A1F2BF"/>
    <w:rsid w:val="57AD7698"/>
    <w:rsid w:val="57BBE12A"/>
    <w:rsid w:val="57BC031F"/>
    <w:rsid w:val="57C60C04"/>
    <w:rsid w:val="57D0C67A"/>
    <w:rsid w:val="57DA07B0"/>
    <w:rsid w:val="57EEB368"/>
    <w:rsid w:val="57FEC852"/>
    <w:rsid w:val="580FE0D9"/>
    <w:rsid w:val="5811F7BF"/>
    <w:rsid w:val="58183D9E"/>
    <w:rsid w:val="581B7090"/>
    <w:rsid w:val="5823C9D4"/>
    <w:rsid w:val="5826B6B7"/>
    <w:rsid w:val="582D78EE"/>
    <w:rsid w:val="583937AE"/>
    <w:rsid w:val="584065A6"/>
    <w:rsid w:val="58443F01"/>
    <w:rsid w:val="58548851"/>
    <w:rsid w:val="585ECD22"/>
    <w:rsid w:val="585F448B"/>
    <w:rsid w:val="5877CDEF"/>
    <w:rsid w:val="58849A44"/>
    <w:rsid w:val="588DF932"/>
    <w:rsid w:val="58905810"/>
    <w:rsid w:val="589DB23D"/>
    <w:rsid w:val="58A1384C"/>
    <w:rsid w:val="58AF30B6"/>
    <w:rsid w:val="58BCF6D9"/>
    <w:rsid w:val="58BD2C00"/>
    <w:rsid w:val="58C5457B"/>
    <w:rsid w:val="58C86854"/>
    <w:rsid w:val="58CDFF0D"/>
    <w:rsid w:val="58E4CE03"/>
    <w:rsid w:val="58E8995C"/>
    <w:rsid w:val="58F1440C"/>
    <w:rsid w:val="591E9C2E"/>
    <w:rsid w:val="59324BB7"/>
    <w:rsid w:val="5939FC40"/>
    <w:rsid w:val="5956EC9A"/>
    <w:rsid w:val="5957D380"/>
    <w:rsid w:val="596BEB51"/>
    <w:rsid w:val="597C13E5"/>
    <w:rsid w:val="599458BD"/>
    <w:rsid w:val="599E768F"/>
    <w:rsid w:val="59A9DFBE"/>
    <w:rsid w:val="59AA2B9A"/>
    <w:rsid w:val="59B04F59"/>
    <w:rsid w:val="59BCF814"/>
    <w:rsid w:val="59CE7876"/>
    <w:rsid w:val="59D6ED89"/>
    <w:rsid w:val="59DAF3FA"/>
    <w:rsid w:val="59E8ED15"/>
    <w:rsid w:val="59EFD348"/>
    <w:rsid w:val="5A060217"/>
    <w:rsid w:val="5A07ECD9"/>
    <w:rsid w:val="5A1C0AB5"/>
    <w:rsid w:val="5A1C96B6"/>
    <w:rsid w:val="5A35BDC0"/>
    <w:rsid w:val="5A4CB5B3"/>
    <w:rsid w:val="5A596169"/>
    <w:rsid w:val="5A6D5984"/>
    <w:rsid w:val="5A7E8538"/>
    <w:rsid w:val="5A8A423C"/>
    <w:rsid w:val="5A8D45B4"/>
    <w:rsid w:val="5A960720"/>
    <w:rsid w:val="5A9B2288"/>
    <w:rsid w:val="5AA21D5C"/>
    <w:rsid w:val="5AC061A5"/>
    <w:rsid w:val="5ACD00D3"/>
    <w:rsid w:val="5AD1E928"/>
    <w:rsid w:val="5ADD1F4F"/>
    <w:rsid w:val="5ADF542D"/>
    <w:rsid w:val="5AECB192"/>
    <w:rsid w:val="5AEE2D20"/>
    <w:rsid w:val="5AF3815F"/>
    <w:rsid w:val="5B0306AE"/>
    <w:rsid w:val="5B08673C"/>
    <w:rsid w:val="5B2107DE"/>
    <w:rsid w:val="5B2BA733"/>
    <w:rsid w:val="5B38F8D2"/>
    <w:rsid w:val="5B5E5645"/>
    <w:rsid w:val="5B64713C"/>
    <w:rsid w:val="5B7074B7"/>
    <w:rsid w:val="5B9577CF"/>
    <w:rsid w:val="5B968DB2"/>
    <w:rsid w:val="5B993FDB"/>
    <w:rsid w:val="5BADEC40"/>
    <w:rsid w:val="5BAE6DED"/>
    <w:rsid w:val="5BBDFE00"/>
    <w:rsid w:val="5BC94FF2"/>
    <w:rsid w:val="5BDAE2F9"/>
    <w:rsid w:val="5BDCDA5D"/>
    <w:rsid w:val="5BDD95B8"/>
    <w:rsid w:val="5BE4B1C1"/>
    <w:rsid w:val="5BF08DFA"/>
    <w:rsid w:val="5C100954"/>
    <w:rsid w:val="5C22D251"/>
    <w:rsid w:val="5C2B8925"/>
    <w:rsid w:val="5C2F7C18"/>
    <w:rsid w:val="5C3221B2"/>
    <w:rsid w:val="5C3522AD"/>
    <w:rsid w:val="5C39ECAC"/>
    <w:rsid w:val="5C3A6EC5"/>
    <w:rsid w:val="5C3E1756"/>
    <w:rsid w:val="5C495B90"/>
    <w:rsid w:val="5C4C6AEE"/>
    <w:rsid w:val="5C51E83D"/>
    <w:rsid w:val="5C5B4F1F"/>
    <w:rsid w:val="5C67B078"/>
    <w:rsid w:val="5C6897D5"/>
    <w:rsid w:val="5C72AED3"/>
    <w:rsid w:val="5C8A20DB"/>
    <w:rsid w:val="5C8D4A08"/>
    <w:rsid w:val="5C9B1C22"/>
    <w:rsid w:val="5CC296D7"/>
    <w:rsid w:val="5CC83528"/>
    <w:rsid w:val="5CCD8EFF"/>
    <w:rsid w:val="5CEC5C64"/>
    <w:rsid w:val="5CF421F7"/>
    <w:rsid w:val="5CF4282C"/>
    <w:rsid w:val="5CFC0E3C"/>
    <w:rsid w:val="5D047923"/>
    <w:rsid w:val="5D0BF507"/>
    <w:rsid w:val="5D0C13A8"/>
    <w:rsid w:val="5D1416A1"/>
    <w:rsid w:val="5D151BBA"/>
    <w:rsid w:val="5D1D4847"/>
    <w:rsid w:val="5D48E8B3"/>
    <w:rsid w:val="5D5778EE"/>
    <w:rsid w:val="5D59F405"/>
    <w:rsid w:val="5D5A8481"/>
    <w:rsid w:val="5D804DF6"/>
    <w:rsid w:val="5D83F9DE"/>
    <w:rsid w:val="5D879CBD"/>
    <w:rsid w:val="5DA4FB7F"/>
    <w:rsid w:val="5DBBB22F"/>
    <w:rsid w:val="5DC39CC6"/>
    <w:rsid w:val="5DE0596E"/>
    <w:rsid w:val="5DEA7BDF"/>
    <w:rsid w:val="5DEB6DF9"/>
    <w:rsid w:val="5DED4AC5"/>
    <w:rsid w:val="5DF116D3"/>
    <w:rsid w:val="5E05ADEC"/>
    <w:rsid w:val="5E0895A9"/>
    <w:rsid w:val="5E11C3B8"/>
    <w:rsid w:val="5E20425A"/>
    <w:rsid w:val="5E2809D3"/>
    <w:rsid w:val="5E37725F"/>
    <w:rsid w:val="5E54169E"/>
    <w:rsid w:val="5E58DE6C"/>
    <w:rsid w:val="5E5B257F"/>
    <w:rsid w:val="5E7B217C"/>
    <w:rsid w:val="5E7DFA5C"/>
    <w:rsid w:val="5E882CC5"/>
    <w:rsid w:val="5EAA19D1"/>
    <w:rsid w:val="5EB1DFA2"/>
    <w:rsid w:val="5EB7B7E2"/>
    <w:rsid w:val="5EBB16E4"/>
    <w:rsid w:val="5ED4D88A"/>
    <w:rsid w:val="5EE373CF"/>
    <w:rsid w:val="5EF611E1"/>
    <w:rsid w:val="5EFB072A"/>
    <w:rsid w:val="5F0897EC"/>
    <w:rsid w:val="5F0C4E04"/>
    <w:rsid w:val="5F27835F"/>
    <w:rsid w:val="5F39A4F3"/>
    <w:rsid w:val="5F3DC8F8"/>
    <w:rsid w:val="5F4BF72F"/>
    <w:rsid w:val="5F4DC12B"/>
    <w:rsid w:val="5F505F53"/>
    <w:rsid w:val="5FAAD86F"/>
    <w:rsid w:val="5FAB97C3"/>
    <w:rsid w:val="5FB0EBA1"/>
    <w:rsid w:val="5FD40EDB"/>
    <w:rsid w:val="5FDBC975"/>
    <w:rsid w:val="5FE825CF"/>
    <w:rsid w:val="602C3998"/>
    <w:rsid w:val="602D9122"/>
    <w:rsid w:val="6031154A"/>
    <w:rsid w:val="603E4CFD"/>
    <w:rsid w:val="60414A5F"/>
    <w:rsid w:val="604DAF5D"/>
    <w:rsid w:val="60535572"/>
    <w:rsid w:val="605F0ECF"/>
    <w:rsid w:val="606569FF"/>
    <w:rsid w:val="6073F23E"/>
    <w:rsid w:val="609894BA"/>
    <w:rsid w:val="6098DBCC"/>
    <w:rsid w:val="60991C43"/>
    <w:rsid w:val="609BA15C"/>
    <w:rsid w:val="60C2181D"/>
    <w:rsid w:val="60C79E33"/>
    <w:rsid w:val="60D40054"/>
    <w:rsid w:val="60DA1FD2"/>
    <w:rsid w:val="60E4F7B7"/>
    <w:rsid w:val="60EE51A9"/>
    <w:rsid w:val="60EE8138"/>
    <w:rsid w:val="60FAC0D0"/>
    <w:rsid w:val="6103AC90"/>
    <w:rsid w:val="611353D0"/>
    <w:rsid w:val="61140AD0"/>
    <w:rsid w:val="61192BC9"/>
    <w:rsid w:val="61289416"/>
    <w:rsid w:val="612998A3"/>
    <w:rsid w:val="613CFCC4"/>
    <w:rsid w:val="613FED1B"/>
    <w:rsid w:val="61404996"/>
    <w:rsid w:val="6147CA95"/>
    <w:rsid w:val="61486D9F"/>
    <w:rsid w:val="6149AE53"/>
    <w:rsid w:val="614EF6E3"/>
    <w:rsid w:val="614F835A"/>
    <w:rsid w:val="615B63F8"/>
    <w:rsid w:val="61919EFA"/>
    <w:rsid w:val="619326FE"/>
    <w:rsid w:val="61986CF0"/>
    <w:rsid w:val="61BDFBE8"/>
    <w:rsid w:val="61C3E73E"/>
    <w:rsid w:val="61CE1EBF"/>
    <w:rsid w:val="61D6A2C6"/>
    <w:rsid w:val="61DB321C"/>
    <w:rsid w:val="61DEA1A5"/>
    <w:rsid w:val="61E32C79"/>
    <w:rsid w:val="6202489E"/>
    <w:rsid w:val="620BAE67"/>
    <w:rsid w:val="62103BB3"/>
    <w:rsid w:val="6225F2EE"/>
    <w:rsid w:val="623F5CB7"/>
    <w:rsid w:val="6248EA88"/>
    <w:rsid w:val="62500DC5"/>
    <w:rsid w:val="6252F012"/>
    <w:rsid w:val="6261B377"/>
    <w:rsid w:val="6266BE0A"/>
    <w:rsid w:val="626DA51F"/>
    <w:rsid w:val="6276086F"/>
    <w:rsid w:val="627BDBF4"/>
    <w:rsid w:val="627E1247"/>
    <w:rsid w:val="6284230A"/>
    <w:rsid w:val="6288A4C6"/>
    <w:rsid w:val="62917D44"/>
    <w:rsid w:val="62A25A75"/>
    <w:rsid w:val="62A26981"/>
    <w:rsid w:val="62A76B0B"/>
    <w:rsid w:val="62B35E98"/>
    <w:rsid w:val="62BC541C"/>
    <w:rsid w:val="62D57399"/>
    <w:rsid w:val="62DC06CC"/>
    <w:rsid w:val="62DEE43A"/>
    <w:rsid w:val="62E8042E"/>
    <w:rsid w:val="631457CC"/>
    <w:rsid w:val="6314AF55"/>
    <w:rsid w:val="6317DCCD"/>
    <w:rsid w:val="631886F1"/>
    <w:rsid w:val="631E7D59"/>
    <w:rsid w:val="631E97FD"/>
    <w:rsid w:val="6326B771"/>
    <w:rsid w:val="6378C153"/>
    <w:rsid w:val="638F3955"/>
    <w:rsid w:val="6391FD91"/>
    <w:rsid w:val="6392AD55"/>
    <w:rsid w:val="63983773"/>
    <w:rsid w:val="63ACB0DC"/>
    <w:rsid w:val="63B738C4"/>
    <w:rsid w:val="63B970CC"/>
    <w:rsid w:val="63C548EC"/>
    <w:rsid w:val="63E8FADA"/>
    <w:rsid w:val="63F91C68"/>
    <w:rsid w:val="6402D017"/>
    <w:rsid w:val="6422E66B"/>
    <w:rsid w:val="64261451"/>
    <w:rsid w:val="642AEDD7"/>
    <w:rsid w:val="64413B24"/>
    <w:rsid w:val="6442B6B8"/>
    <w:rsid w:val="6451B8F5"/>
    <w:rsid w:val="645C6A30"/>
    <w:rsid w:val="6478339A"/>
    <w:rsid w:val="647D4BA0"/>
    <w:rsid w:val="64952EC6"/>
    <w:rsid w:val="649766B2"/>
    <w:rsid w:val="649F3EE6"/>
    <w:rsid w:val="64AC4A07"/>
    <w:rsid w:val="64B16773"/>
    <w:rsid w:val="64B30191"/>
    <w:rsid w:val="64FB9FF7"/>
    <w:rsid w:val="64FE2FF1"/>
    <w:rsid w:val="65027345"/>
    <w:rsid w:val="6507E2F4"/>
    <w:rsid w:val="650D97AC"/>
    <w:rsid w:val="650EF561"/>
    <w:rsid w:val="652232AE"/>
    <w:rsid w:val="6527C4B7"/>
    <w:rsid w:val="65282E8E"/>
    <w:rsid w:val="652B335A"/>
    <w:rsid w:val="653F7126"/>
    <w:rsid w:val="6540C209"/>
    <w:rsid w:val="65417E5F"/>
    <w:rsid w:val="654981BC"/>
    <w:rsid w:val="656FAEFB"/>
    <w:rsid w:val="65716058"/>
    <w:rsid w:val="65786CD3"/>
    <w:rsid w:val="6598D7AC"/>
    <w:rsid w:val="65A547CC"/>
    <w:rsid w:val="65B20171"/>
    <w:rsid w:val="65BBC3CC"/>
    <w:rsid w:val="65CC8904"/>
    <w:rsid w:val="65CF67E7"/>
    <w:rsid w:val="65D2BAE2"/>
    <w:rsid w:val="65F1BC06"/>
    <w:rsid w:val="65FB862E"/>
    <w:rsid w:val="66035FFD"/>
    <w:rsid w:val="6618BF98"/>
    <w:rsid w:val="662D1F97"/>
    <w:rsid w:val="663389D2"/>
    <w:rsid w:val="6648677B"/>
    <w:rsid w:val="6648EC69"/>
    <w:rsid w:val="664AEDBC"/>
    <w:rsid w:val="664C3CD0"/>
    <w:rsid w:val="6657191A"/>
    <w:rsid w:val="66595959"/>
    <w:rsid w:val="667F67B1"/>
    <w:rsid w:val="6681E215"/>
    <w:rsid w:val="669C53AA"/>
    <w:rsid w:val="66A2B8EF"/>
    <w:rsid w:val="66AF7468"/>
    <w:rsid w:val="66BAB90F"/>
    <w:rsid w:val="66C9DBE8"/>
    <w:rsid w:val="66CCBE6A"/>
    <w:rsid w:val="66EF62A2"/>
    <w:rsid w:val="66F1821E"/>
    <w:rsid w:val="67000262"/>
    <w:rsid w:val="67133916"/>
    <w:rsid w:val="6719FDE4"/>
    <w:rsid w:val="671B4761"/>
    <w:rsid w:val="6720AAAF"/>
    <w:rsid w:val="6751D711"/>
    <w:rsid w:val="6759FD71"/>
    <w:rsid w:val="676CD6A6"/>
    <w:rsid w:val="677409F5"/>
    <w:rsid w:val="677EC3C3"/>
    <w:rsid w:val="678B3ECD"/>
    <w:rsid w:val="678BB548"/>
    <w:rsid w:val="6790943D"/>
    <w:rsid w:val="67A2D4D9"/>
    <w:rsid w:val="67A6AC0F"/>
    <w:rsid w:val="67AE61CB"/>
    <w:rsid w:val="67B90DF6"/>
    <w:rsid w:val="67C60CFF"/>
    <w:rsid w:val="67EE6505"/>
    <w:rsid w:val="680A7929"/>
    <w:rsid w:val="68413417"/>
    <w:rsid w:val="684D7548"/>
    <w:rsid w:val="68501474"/>
    <w:rsid w:val="6857C662"/>
    <w:rsid w:val="68618965"/>
    <w:rsid w:val="6863F6FD"/>
    <w:rsid w:val="6872A5CE"/>
    <w:rsid w:val="68744166"/>
    <w:rsid w:val="688064BB"/>
    <w:rsid w:val="68820E10"/>
    <w:rsid w:val="6897E358"/>
    <w:rsid w:val="689C8108"/>
    <w:rsid w:val="68A7C590"/>
    <w:rsid w:val="68B95F75"/>
    <w:rsid w:val="68BF8DF7"/>
    <w:rsid w:val="68C1F02B"/>
    <w:rsid w:val="68C5D226"/>
    <w:rsid w:val="68CD6780"/>
    <w:rsid w:val="68D0B037"/>
    <w:rsid w:val="68DCC780"/>
    <w:rsid w:val="68F620DD"/>
    <w:rsid w:val="6902984D"/>
    <w:rsid w:val="690B3396"/>
    <w:rsid w:val="6910B4F7"/>
    <w:rsid w:val="6922D75F"/>
    <w:rsid w:val="692B9F43"/>
    <w:rsid w:val="692E8280"/>
    <w:rsid w:val="69421378"/>
    <w:rsid w:val="695E8477"/>
    <w:rsid w:val="695ED58C"/>
    <w:rsid w:val="69600F00"/>
    <w:rsid w:val="69601EEA"/>
    <w:rsid w:val="696CB36D"/>
    <w:rsid w:val="696EB3F7"/>
    <w:rsid w:val="697097E8"/>
    <w:rsid w:val="6980160D"/>
    <w:rsid w:val="69983105"/>
    <w:rsid w:val="69AAC432"/>
    <w:rsid w:val="69ADE822"/>
    <w:rsid w:val="69AEDE46"/>
    <w:rsid w:val="69CCFCA2"/>
    <w:rsid w:val="69D267D8"/>
    <w:rsid w:val="69E83393"/>
    <w:rsid w:val="69F9BFCA"/>
    <w:rsid w:val="6A04DE4D"/>
    <w:rsid w:val="6A1BF06C"/>
    <w:rsid w:val="6A20A157"/>
    <w:rsid w:val="6A29FC3A"/>
    <w:rsid w:val="6A46C861"/>
    <w:rsid w:val="6A4A82B6"/>
    <w:rsid w:val="6A50E0C3"/>
    <w:rsid w:val="6A51C1C7"/>
    <w:rsid w:val="6A565286"/>
    <w:rsid w:val="6A61BA3D"/>
    <w:rsid w:val="6A70852B"/>
    <w:rsid w:val="6A739056"/>
    <w:rsid w:val="6A83AA9F"/>
    <w:rsid w:val="6A85B8DC"/>
    <w:rsid w:val="6A87BFB3"/>
    <w:rsid w:val="6A89F67F"/>
    <w:rsid w:val="6A8A5E66"/>
    <w:rsid w:val="6A920129"/>
    <w:rsid w:val="6A9AE3F7"/>
    <w:rsid w:val="6AB6FF10"/>
    <w:rsid w:val="6ABE5249"/>
    <w:rsid w:val="6ABE59E8"/>
    <w:rsid w:val="6AC12961"/>
    <w:rsid w:val="6AC3B5AC"/>
    <w:rsid w:val="6AC5B172"/>
    <w:rsid w:val="6AC989D6"/>
    <w:rsid w:val="6ACA690A"/>
    <w:rsid w:val="6ACE33BF"/>
    <w:rsid w:val="6AE7C26D"/>
    <w:rsid w:val="6AEAE8F2"/>
    <w:rsid w:val="6AEE0679"/>
    <w:rsid w:val="6AEEAEC9"/>
    <w:rsid w:val="6AF98847"/>
    <w:rsid w:val="6B0A94E0"/>
    <w:rsid w:val="6B223738"/>
    <w:rsid w:val="6B2C145C"/>
    <w:rsid w:val="6B3D70BF"/>
    <w:rsid w:val="6B4F18EC"/>
    <w:rsid w:val="6B519403"/>
    <w:rsid w:val="6B533885"/>
    <w:rsid w:val="6B5A220D"/>
    <w:rsid w:val="6B5F0AA4"/>
    <w:rsid w:val="6B5FA2A5"/>
    <w:rsid w:val="6B736CDC"/>
    <w:rsid w:val="6B79BBA4"/>
    <w:rsid w:val="6B8B0EB4"/>
    <w:rsid w:val="6B8BE08D"/>
    <w:rsid w:val="6B92E521"/>
    <w:rsid w:val="6BA6199F"/>
    <w:rsid w:val="6BB2FE4C"/>
    <w:rsid w:val="6BBAB009"/>
    <w:rsid w:val="6BC061D5"/>
    <w:rsid w:val="6BC4C6D5"/>
    <w:rsid w:val="6BC50056"/>
    <w:rsid w:val="6BC81437"/>
    <w:rsid w:val="6BD1F231"/>
    <w:rsid w:val="6BDA7FD7"/>
    <w:rsid w:val="6BE216DA"/>
    <w:rsid w:val="6BEC6E2C"/>
    <w:rsid w:val="6BF2F376"/>
    <w:rsid w:val="6C12EAA9"/>
    <w:rsid w:val="6C17A3CA"/>
    <w:rsid w:val="6C1D66A2"/>
    <w:rsid w:val="6C2020F5"/>
    <w:rsid w:val="6C40F52A"/>
    <w:rsid w:val="6C562F10"/>
    <w:rsid w:val="6C580DDF"/>
    <w:rsid w:val="6C693771"/>
    <w:rsid w:val="6C6D70E9"/>
    <w:rsid w:val="6C6F59FE"/>
    <w:rsid w:val="6C7F0C07"/>
    <w:rsid w:val="6C89A685"/>
    <w:rsid w:val="6C90120F"/>
    <w:rsid w:val="6C9A77CE"/>
    <w:rsid w:val="6CAC769C"/>
    <w:rsid w:val="6CC6F4A1"/>
    <w:rsid w:val="6CD0EE9F"/>
    <w:rsid w:val="6CD28D58"/>
    <w:rsid w:val="6CDB48A1"/>
    <w:rsid w:val="6CDFC271"/>
    <w:rsid w:val="6CF61468"/>
    <w:rsid w:val="6CF8E7C6"/>
    <w:rsid w:val="6D0C914D"/>
    <w:rsid w:val="6D0DCB70"/>
    <w:rsid w:val="6D1648A0"/>
    <w:rsid w:val="6D1AA149"/>
    <w:rsid w:val="6D23C21F"/>
    <w:rsid w:val="6D26E79F"/>
    <w:rsid w:val="6D360CF3"/>
    <w:rsid w:val="6D409403"/>
    <w:rsid w:val="6D459A8A"/>
    <w:rsid w:val="6D45B0CE"/>
    <w:rsid w:val="6D54DB08"/>
    <w:rsid w:val="6D5503C3"/>
    <w:rsid w:val="6D58EBD6"/>
    <w:rsid w:val="6D6CFF01"/>
    <w:rsid w:val="6D6F3FCE"/>
    <w:rsid w:val="6D7C3AE2"/>
    <w:rsid w:val="6D89394A"/>
    <w:rsid w:val="6D92FD4F"/>
    <w:rsid w:val="6D9CD806"/>
    <w:rsid w:val="6DA7DD81"/>
    <w:rsid w:val="6DA9049D"/>
    <w:rsid w:val="6DC0CD2A"/>
    <w:rsid w:val="6DC169D1"/>
    <w:rsid w:val="6DC2CB99"/>
    <w:rsid w:val="6DC5F05A"/>
    <w:rsid w:val="6DD21EC1"/>
    <w:rsid w:val="6DD3568F"/>
    <w:rsid w:val="6DF76A9B"/>
    <w:rsid w:val="6DFCE876"/>
    <w:rsid w:val="6E169777"/>
    <w:rsid w:val="6E1ADC68"/>
    <w:rsid w:val="6E22C9EE"/>
    <w:rsid w:val="6E26422D"/>
    <w:rsid w:val="6E290464"/>
    <w:rsid w:val="6E299C9C"/>
    <w:rsid w:val="6E2F609D"/>
    <w:rsid w:val="6E301EE1"/>
    <w:rsid w:val="6E321B7F"/>
    <w:rsid w:val="6E39D9E4"/>
    <w:rsid w:val="6E464F78"/>
    <w:rsid w:val="6E5023AE"/>
    <w:rsid w:val="6E56622D"/>
    <w:rsid w:val="6E59FC1E"/>
    <w:rsid w:val="6E6D9501"/>
    <w:rsid w:val="6E7FB9AB"/>
    <w:rsid w:val="6E8E6D04"/>
    <w:rsid w:val="6E8FBA54"/>
    <w:rsid w:val="6EA1A778"/>
    <w:rsid w:val="6EF01DC1"/>
    <w:rsid w:val="6EF6AB73"/>
    <w:rsid w:val="6F21CC38"/>
    <w:rsid w:val="6F2A1059"/>
    <w:rsid w:val="6F335F03"/>
    <w:rsid w:val="6F3A9855"/>
    <w:rsid w:val="6F3E1049"/>
    <w:rsid w:val="6F3E6FF1"/>
    <w:rsid w:val="6F4CB400"/>
    <w:rsid w:val="6F5104C6"/>
    <w:rsid w:val="6F691C08"/>
    <w:rsid w:val="6F70F724"/>
    <w:rsid w:val="6F783D82"/>
    <w:rsid w:val="6F7AD250"/>
    <w:rsid w:val="6F8B8D91"/>
    <w:rsid w:val="6F9165DF"/>
    <w:rsid w:val="6FA127CA"/>
    <w:rsid w:val="6FA744A1"/>
    <w:rsid w:val="6FA749A3"/>
    <w:rsid w:val="6FCB0B44"/>
    <w:rsid w:val="6FD5419D"/>
    <w:rsid w:val="6FF25516"/>
    <w:rsid w:val="6FF97F4F"/>
    <w:rsid w:val="701042EF"/>
    <w:rsid w:val="7011E6B0"/>
    <w:rsid w:val="70159C4C"/>
    <w:rsid w:val="7015CC94"/>
    <w:rsid w:val="702B4A9A"/>
    <w:rsid w:val="7049AFEA"/>
    <w:rsid w:val="704A2D30"/>
    <w:rsid w:val="705AB8EB"/>
    <w:rsid w:val="7067F98C"/>
    <w:rsid w:val="706A0D76"/>
    <w:rsid w:val="7079DA96"/>
    <w:rsid w:val="70A94076"/>
    <w:rsid w:val="70ACB867"/>
    <w:rsid w:val="70B7B0E2"/>
    <w:rsid w:val="70BC0085"/>
    <w:rsid w:val="70BE7D0D"/>
    <w:rsid w:val="70C4243E"/>
    <w:rsid w:val="70C9B5C0"/>
    <w:rsid w:val="70DA202F"/>
    <w:rsid w:val="70DB4189"/>
    <w:rsid w:val="70E0A55F"/>
    <w:rsid w:val="70F86DEC"/>
    <w:rsid w:val="7101F96E"/>
    <w:rsid w:val="71082735"/>
    <w:rsid w:val="710DF90E"/>
    <w:rsid w:val="7115F5A9"/>
    <w:rsid w:val="71179ED0"/>
    <w:rsid w:val="7121FB44"/>
    <w:rsid w:val="71275F56"/>
    <w:rsid w:val="713081F8"/>
    <w:rsid w:val="713CFB10"/>
    <w:rsid w:val="7141B359"/>
    <w:rsid w:val="71423C41"/>
    <w:rsid w:val="714AF9C5"/>
    <w:rsid w:val="7158FD97"/>
    <w:rsid w:val="71601176"/>
    <w:rsid w:val="7163862B"/>
    <w:rsid w:val="71712B44"/>
    <w:rsid w:val="7172F67D"/>
    <w:rsid w:val="71765F8D"/>
    <w:rsid w:val="717A2237"/>
    <w:rsid w:val="717EC7CE"/>
    <w:rsid w:val="71804E08"/>
    <w:rsid w:val="718BD2FA"/>
    <w:rsid w:val="7195DA4A"/>
    <w:rsid w:val="7197E43A"/>
    <w:rsid w:val="719D4588"/>
    <w:rsid w:val="71B1AEC0"/>
    <w:rsid w:val="71BE2007"/>
    <w:rsid w:val="71C46B63"/>
    <w:rsid w:val="71C6673C"/>
    <w:rsid w:val="71E2E029"/>
    <w:rsid w:val="71EFA783"/>
    <w:rsid w:val="720E9172"/>
    <w:rsid w:val="721EBBB4"/>
    <w:rsid w:val="72251CE1"/>
    <w:rsid w:val="7225360A"/>
    <w:rsid w:val="7231100E"/>
    <w:rsid w:val="7240A996"/>
    <w:rsid w:val="7243E865"/>
    <w:rsid w:val="724E5134"/>
    <w:rsid w:val="725A35C9"/>
    <w:rsid w:val="725EB207"/>
    <w:rsid w:val="7260BD09"/>
    <w:rsid w:val="7265E50C"/>
    <w:rsid w:val="727B3ED5"/>
    <w:rsid w:val="728C6BC1"/>
    <w:rsid w:val="728F18D3"/>
    <w:rsid w:val="7298BE4A"/>
    <w:rsid w:val="72A14733"/>
    <w:rsid w:val="72C95D6D"/>
    <w:rsid w:val="72DCF1F1"/>
    <w:rsid w:val="72E29788"/>
    <w:rsid w:val="72E7928E"/>
    <w:rsid w:val="72EFB146"/>
    <w:rsid w:val="7321678A"/>
    <w:rsid w:val="733938C7"/>
    <w:rsid w:val="733C99F3"/>
    <w:rsid w:val="734093E2"/>
    <w:rsid w:val="7342CC8C"/>
    <w:rsid w:val="73482961"/>
    <w:rsid w:val="735EE57D"/>
    <w:rsid w:val="7382322A"/>
    <w:rsid w:val="73A81E13"/>
    <w:rsid w:val="73AD95B0"/>
    <w:rsid w:val="73B2693E"/>
    <w:rsid w:val="73BBAC14"/>
    <w:rsid w:val="73C280E8"/>
    <w:rsid w:val="73C8189B"/>
    <w:rsid w:val="73CCA9B4"/>
    <w:rsid w:val="73E70274"/>
    <w:rsid w:val="73EE747E"/>
    <w:rsid w:val="73EF4626"/>
    <w:rsid w:val="73F9B9EE"/>
    <w:rsid w:val="73FA7E85"/>
    <w:rsid w:val="73FDE88D"/>
    <w:rsid w:val="7402A68B"/>
    <w:rsid w:val="74042800"/>
    <w:rsid w:val="74184621"/>
    <w:rsid w:val="7422C0C8"/>
    <w:rsid w:val="7424DA9F"/>
    <w:rsid w:val="742578A7"/>
    <w:rsid w:val="742F12FB"/>
    <w:rsid w:val="74485614"/>
    <w:rsid w:val="7460337A"/>
    <w:rsid w:val="7478EA5A"/>
    <w:rsid w:val="747D35DF"/>
    <w:rsid w:val="74AFD76E"/>
    <w:rsid w:val="74CD2BE8"/>
    <w:rsid w:val="74D9263D"/>
    <w:rsid w:val="74D9B316"/>
    <w:rsid w:val="74ED445E"/>
    <w:rsid w:val="74ED9932"/>
    <w:rsid w:val="74F11515"/>
    <w:rsid w:val="750019D0"/>
    <w:rsid w:val="752CBB14"/>
    <w:rsid w:val="752DCFFF"/>
    <w:rsid w:val="756514E1"/>
    <w:rsid w:val="7566834A"/>
    <w:rsid w:val="7574527B"/>
    <w:rsid w:val="758A3D19"/>
    <w:rsid w:val="75A11466"/>
    <w:rsid w:val="75A3A131"/>
    <w:rsid w:val="75A7E5E7"/>
    <w:rsid w:val="75A885DC"/>
    <w:rsid w:val="75CD3EDF"/>
    <w:rsid w:val="75CDC339"/>
    <w:rsid w:val="7605C379"/>
    <w:rsid w:val="76158530"/>
    <w:rsid w:val="7632AC24"/>
    <w:rsid w:val="764160A4"/>
    <w:rsid w:val="7644343E"/>
    <w:rsid w:val="76544DBA"/>
    <w:rsid w:val="765467D8"/>
    <w:rsid w:val="7654AFA0"/>
    <w:rsid w:val="7669B64C"/>
    <w:rsid w:val="767A699E"/>
    <w:rsid w:val="767CA41A"/>
    <w:rsid w:val="768DDB42"/>
    <w:rsid w:val="769BACDE"/>
    <w:rsid w:val="76A41AA5"/>
    <w:rsid w:val="76B7F54F"/>
    <w:rsid w:val="76BE0BF6"/>
    <w:rsid w:val="76D18AFF"/>
    <w:rsid w:val="76DF65CE"/>
    <w:rsid w:val="76E3E1C6"/>
    <w:rsid w:val="76E58F67"/>
    <w:rsid w:val="76E619B5"/>
    <w:rsid w:val="76EF279A"/>
    <w:rsid w:val="76F1A383"/>
    <w:rsid w:val="76F66294"/>
    <w:rsid w:val="76F66B11"/>
    <w:rsid w:val="76FC3732"/>
    <w:rsid w:val="7717C073"/>
    <w:rsid w:val="77315AB0"/>
    <w:rsid w:val="77317488"/>
    <w:rsid w:val="7733A636"/>
    <w:rsid w:val="7741627A"/>
    <w:rsid w:val="7745E0CF"/>
    <w:rsid w:val="774981D6"/>
    <w:rsid w:val="77636E7A"/>
    <w:rsid w:val="77690F40"/>
    <w:rsid w:val="776975A6"/>
    <w:rsid w:val="77834F67"/>
    <w:rsid w:val="778BE4ED"/>
    <w:rsid w:val="778C1A4B"/>
    <w:rsid w:val="778F0A48"/>
    <w:rsid w:val="77905E9E"/>
    <w:rsid w:val="77971F12"/>
    <w:rsid w:val="77A5ED86"/>
    <w:rsid w:val="77AC91BD"/>
    <w:rsid w:val="77D91481"/>
    <w:rsid w:val="77DD1895"/>
    <w:rsid w:val="77E131BA"/>
    <w:rsid w:val="77E83F03"/>
    <w:rsid w:val="77FD1024"/>
    <w:rsid w:val="78079439"/>
    <w:rsid w:val="780CC690"/>
    <w:rsid w:val="780FA873"/>
    <w:rsid w:val="78218502"/>
    <w:rsid w:val="78246241"/>
    <w:rsid w:val="78325941"/>
    <w:rsid w:val="78351F78"/>
    <w:rsid w:val="78418C89"/>
    <w:rsid w:val="7843D081"/>
    <w:rsid w:val="78442B23"/>
    <w:rsid w:val="7846DC5A"/>
    <w:rsid w:val="784D6665"/>
    <w:rsid w:val="785866E0"/>
    <w:rsid w:val="785BF6A8"/>
    <w:rsid w:val="786420F2"/>
    <w:rsid w:val="786D6C48"/>
    <w:rsid w:val="7872C019"/>
    <w:rsid w:val="788A224E"/>
    <w:rsid w:val="789F5F7D"/>
    <w:rsid w:val="78A01F60"/>
    <w:rsid w:val="78A4F3C1"/>
    <w:rsid w:val="78B245E8"/>
    <w:rsid w:val="78B261E9"/>
    <w:rsid w:val="78C564CC"/>
    <w:rsid w:val="78C5B324"/>
    <w:rsid w:val="78C7A5D9"/>
    <w:rsid w:val="78EB7614"/>
    <w:rsid w:val="7922697E"/>
    <w:rsid w:val="792A3261"/>
    <w:rsid w:val="794B869B"/>
    <w:rsid w:val="7950B9C1"/>
    <w:rsid w:val="79547394"/>
    <w:rsid w:val="7955C20E"/>
    <w:rsid w:val="7974DD87"/>
    <w:rsid w:val="797531E6"/>
    <w:rsid w:val="79771176"/>
    <w:rsid w:val="7978F435"/>
    <w:rsid w:val="798620A4"/>
    <w:rsid w:val="799B1A7C"/>
    <w:rsid w:val="79B76AE5"/>
    <w:rsid w:val="79B8FCE7"/>
    <w:rsid w:val="7A01CD79"/>
    <w:rsid w:val="7A031222"/>
    <w:rsid w:val="7A0D54CE"/>
    <w:rsid w:val="7A14BA05"/>
    <w:rsid w:val="7A258C25"/>
    <w:rsid w:val="7A33CA0E"/>
    <w:rsid w:val="7A3D3A5C"/>
    <w:rsid w:val="7A480412"/>
    <w:rsid w:val="7A488FB6"/>
    <w:rsid w:val="7A51A934"/>
    <w:rsid w:val="7A5E1595"/>
    <w:rsid w:val="7A67C5C6"/>
    <w:rsid w:val="7A70697E"/>
    <w:rsid w:val="7A72A3B4"/>
    <w:rsid w:val="7A8A194C"/>
    <w:rsid w:val="7A9380BD"/>
    <w:rsid w:val="7A950298"/>
    <w:rsid w:val="7AA076B6"/>
    <w:rsid w:val="7AA4C69C"/>
    <w:rsid w:val="7AA5E42B"/>
    <w:rsid w:val="7AB85C92"/>
    <w:rsid w:val="7AC1B131"/>
    <w:rsid w:val="7ACB88F0"/>
    <w:rsid w:val="7AD8F2ED"/>
    <w:rsid w:val="7ADDBECE"/>
    <w:rsid w:val="7AF0B4FB"/>
    <w:rsid w:val="7B0508D9"/>
    <w:rsid w:val="7B061D47"/>
    <w:rsid w:val="7B09BAB8"/>
    <w:rsid w:val="7B142DD2"/>
    <w:rsid w:val="7B1F2264"/>
    <w:rsid w:val="7B223E0D"/>
    <w:rsid w:val="7B2B703F"/>
    <w:rsid w:val="7B340BF4"/>
    <w:rsid w:val="7B36A047"/>
    <w:rsid w:val="7B46C5A4"/>
    <w:rsid w:val="7B4B31B2"/>
    <w:rsid w:val="7B6D1CB8"/>
    <w:rsid w:val="7B6FBFF9"/>
    <w:rsid w:val="7B7A34E2"/>
    <w:rsid w:val="7B8F0584"/>
    <w:rsid w:val="7B9232CC"/>
    <w:rsid w:val="7B9ADE88"/>
    <w:rsid w:val="7B9B8040"/>
    <w:rsid w:val="7B9F51C2"/>
    <w:rsid w:val="7BA06185"/>
    <w:rsid w:val="7BA1FE4B"/>
    <w:rsid w:val="7BB09415"/>
    <w:rsid w:val="7BB3137C"/>
    <w:rsid w:val="7BCAAF04"/>
    <w:rsid w:val="7BF42672"/>
    <w:rsid w:val="7BF62FF2"/>
    <w:rsid w:val="7BF85EC1"/>
    <w:rsid w:val="7BFF6FD4"/>
    <w:rsid w:val="7C17276B"/>
    <w:rsid w:val="7C187601"/>
    <w:rsid w:val="7C21B035"/>
    <w:rsid w:val="7C223F6F"/>
    <w:rsid w:val="7C2269B1"/>
    <w:rsid w:val="7C2BB31A"/>
    <w:rsid w:val="7C2FEE43"/>
    <w:rsid w:val="7C3BA15A"/>
    <w:rsid w:val="7C3C8F5B"/>
    <w:rsid w:val="7C427B2B"/>
    <w:rsid w:val="7C43FA7A"/>
    <w:rsid w:val="7C548D28"/>
    <w:rsid w:val="7C5E72EC"/>
    <w:rsid w:val="7C62D8DA"/>
    <w:rsid w:val="7C7BD59E"/>
    <w:rsid w:val="7C7EF9FC"/>
    <w:rsid w:val="7C81B588"/>
    <w:rsid w:val="7CA20A64"/>
    <w:rsid w:val="7CA51893"/>
    <w:rsid w:val="7CB6A2E0"/>
    <w:rsid w:val="7CB9FC4E"/>
    <w:rsid w:val="7CC2271B"/>
    <w:rsid w:val="7CCA4892"/>
    <w:rsid w:val="7CD2D1D7"/>
    <w:rsid w:val="7CDBCA4A"/>
    <w:rsid w:val="7CE2BB01"/>
    <w:rsid w:val="7CE3C642"/>
    <w:rsid w:val="7CED3E2A"/>
    <w:rsid w:val="7CF2761F"/>
    <w:rsid w:val="7CFF7428"/>
    <w:rsid w:val="7D00713F"/>
    <w:rsid w:val="7D0D6E81"/>
    <w:rsid w:val="7D1110B3"/>
    <w:rsid w:val="7D28FD3B"/>
    <w:rsid w:val="7D368DB7"/>
    <w:rsid w:val="7D4226B8"/>
    <w:rsid w:val="7D544A01"/>
    <w:rsid w:val="7D56C40B"/>
    <w:rsid w:val="7D60E3DE"/>
    <w:rsid w:val="7D73E158"/>
    <w:rsid w:val="7D96356C"/>
    <w:rsid w:val="7DA14B01"/>
    <w:rsid w:val="7DB3BEFF"/>
    <w:rsid w:val="7DB76C4F"/>
    <w:rsid w:val="7DBBE7D1"/>
    <w:rsid w:val="7DC4FFCA"/>
    <w:rsid w:val="7DCB68F5"/>
    <w:rsid w:val="7DCE9B49"/>
    <w:rsid w:val="7DD558ED"/>
    <w:rsid w:val="7DD7173C"/>
    <w:rsid w:val="7DE29196"/>
    <w:rsid w:val="7DECBB71"/>
    <w:rsid w:val="7E0F7C32"/>
    <w:rsid w:val="7E1212AC"/>
    <w:rsid w:val="7E1222EC"/>
    <w:rsid w:val="7E1E7FE1"/>
    <w:rsid w:val="7E29409C"/>
    <w:rsid w:val="7E379251"/>
    <w:rsid w:val="7E4636EF"/>
    <w:rsid w:val="7E490DD0"/>
    <w:rsid w:val="7E491292"/>
    <w:rsid w:val="7E54C82F"/>
    <w:rsid w:val="7E604ACB"/>
    <w:rsid w:val="7E62227B"/>
    <w:rsid w:val="7E6C40DA"/>
    <w:rsid w:val="7E6F0308"/>
    <w:rsid w:val="7E7415FC"/>
    <w:rsid w:val="7E743C8C"/>
    <w:rsid w:val="7E79BB09"/>
    <w:rsid w:val="7E88126C"/>
    <w:rsid w:val="7E9F39A4"/>
    <w:rsid w:val="7EAE945E"/>
    <w:rsid w:val="7EB6ED14"/>
    <w:rsid w:val="7EC5AEAA"/>
    <w:rsid w:val="7EDDE84B"/>
    <w:rsid w:val="7EF13AC7"/>
    <w:rsid w:val="7F111D57"/>
    <w:rsid w:val="7F2080D4"/>
    <w:rsid w:val="7F266236"/>
    <w:rsid w:val="7F29D3DC"/>
    <w:rsid w:val="7F2D00A2"/>
    <w:rsid w:val="7F3125C3"/>
    <w:rsid w:val="7F31F2B8"/>
    <w:rsid w:val="7F4C745F"/>
    <w:rsid w:val="7F713597"/>
    <w:rsid w:val="7F74E3F8"/>
    <w:rsid w:val="7F839CA4"/>
    <w:rsid w:val="7F8712D4"/>
    <w:rsid w:val="7FA0434B"/>
    <w:rsid w:val="7FA53852"/>
    <w:rsid w:val="7FA6E74F"/>
    <w:rsid w:val="7FAB01B7"/>
    <w:rsid w:val="7FAFBDF9"/>
    <w:rsid w:val="7FB48CF5"/>
    <w:rsid w:val="7FB782A5"/>
    <w:rsid w:val="7FC429CA"/>
    <w:rsid w:val="7FC52C65"/>
    <w:rsid w:val="7FC56DDF"/>
    <w:rsid w:val="7FCE0B0A"/>
    <w:rsid w:val="7FCE1A51"/>
    <w:rsid w:val="7FE3238C"/>
    <w:rsid w:val="7FE42C50"/>
    <w:rsid w:val="7FFA779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9D823CB"/>
  <w15:chartTrackingRefBased/>
  <w15:docId w15:val="{21268889-54AD-47B0-9D41-868B99021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ja-JP" w:bidi="ar-SA"/>
      </w:rPr>
    </w:rPrDefault>
    <w:pPrDefault/>
  </w:docDefaults>
  <w:latentStyles w:defLockedState="0" w:defUIPriority="99" w:defSemiHidden="0" w:defUnhideWhenUsed="0" w:defQFormat="0" w:count="371">
    <w:lsdException w:name="Normal" w:uiPriority="0" w:qFormat="1"/>
    <w:lsdException w:name="heading 1" w:qFormat="1"/>
    <w:lsdException w:name="heading 2" w:locked="1" w:uiPriority="9" w:qFormat="1"/>
    <w:lsdException w:name="heading 3" w:locked="1" w:uiPriority="9" w:qFormat="1"/>
    <w:lsdException w:name="heading 4" w:locked="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ocked="1" w:qFormat="1"/>
    <w:lsdException w:name="Medium Grid 3" w:locked="1" w:uiPriority="60"/>
    <w:lsdException w:name="Dark List" w:locked="1" w:uiPriority="61"/>
    <w:lsdException w:name="Colorful Shading" w:locked="1" w:uiPriority="62"/>
    <w:lsdException w:name="Colorful List" w:locked="1" w:uiPriority="63"/>
    <w:lsdException w:name="Colorful Grid" w:locked="1" w:uiPriority="64"/>
    <w:lsdException w:name="Light Shading Accent 1" w:locked="1" w:uiPriority="65"/>
    <w:lsdException w:name="Light List Accent 1" w:locked="1" w:uiPriority="66"/>
    <w:lsdException w:name="Light Grid Accent 1" w:locked="1" w:uiPriority="67"/>
    <w:lsdException w:name="Medium Shading 1 Accent 1" w:locked="1" w:uiPriority="68"/>
    <w:lsdException w:name="Medium Shading 2 Accent 1" w:locked="1" w:uiPriority="69"/>
    <w:lsdException w:name="Medium List 1 Accent 1" w:locked="1" w:uiPriority="70"/>
    <w:lsdException w:name="Revision" w:locked="1" w:semiHidden="1" w:uiPriority="71"/>
    <w:lsdException w:name="List Paragraph" w:uiPriority="34" w:qFormat="1"/>
    <w:lsdException w:name="Quote" w:locked="1" w:uiPriority="29" w:qFormat="1"/>
    <w:lsdException w:name="Intense Quote" w:locked="1" w:uiPriority="30" w:qFormat="1"/>
    <w:lsdException w:name="Medium List 2 Accent 1" w:locked="1" w:uiPriority="61"/>
    <w:lsdException w:name="Medium Grid 1 Accent 1" w:locked="1" w:uiPriority="62"/>
    <w:lsdException w:name="Medium Grid 2 Accent 1" w:locked="1" w:uiPriority="63"/>
    <w:lsdException w:name="Medium Grid 3 Accent 1" w:locked="1" w:uiPriority="64"/>
    <w:lsdException w:name="Dark List Accent 1" w:locked="1" w:uiPriority="65"/>
    <w:lsdException w:name="Colorful Shading Accent 1"/>
    <w:lsdException w:name="Colorful List Accent 1" w:locked="1" w:uiPriority="34" w:qFormat="1"/>
    <w:lsdException w:name="Colorful Grid Accent 1" w:locked="1" w:qFormat="1"/>
    <w:lsdException w:name="Light Shading Accent 2" w:locked="1" w:qFormat="1"/>
    <w:lsdException w:name="Light List Accent 2" w:locked="1" w:uiPriority="66"/>
    <w:lsdException w:name="Light Grid Accent 2" w:locked="1" w:uiPriority="67"/>
    <w:lsdException w:name="Medium Shading 1 Accent 2" w:locked="1" w:uiPriority="68"/>
    <w:lsdException w:name="Medium Shading 2 Accent 2" w:locked="1" w:uiPriority="69"/>
    <w:lsdException w:name="Medium List 1 Accent 2" w:locked="1" w:uiPriority="70"/>
    <w:lsdException w:name="Medium List 2 Accent 2" w:locked="1" w:uiPriority="71"/>
    <w:lsdException w:name="Medium Grid 1 Accent 2" w:locked="1" w:uiPriority="72"/>
    <w:lsdException w:name="Medium Grid 2 Accent 2" w:locked="1" w:uiPriority="73"/>
    <w:lsdException w:name="Medium Grid 3 Accent 2" w:locked="1" w:uiPriority="60"/>
    <w:lsdException w:name="Dark List Accent 2" w:locked="1" w:uiPriority="61"/>
    <w:lsdException w:name="Colorful Shading Accent 2" w:locked="1" w:uiPriority="62"/>
    <w:lsdException w:name="Colorful List Accent 2" w:locked="1" w:uiPriority="63"/>
    <w:lsdException w:name="Colorful Grid Accent 2" w:locked="1" w:uiPriority="64"/>
    <w:lsdException w:name="Light Shading Accent 3" w:locked="1" w:uiPriority="65"/>
    <w:lsdException w:name="Light List Accent 3" w:locked="1" w:uiPriority="66"/>
    <w:lsdException w:name="Light Grid Accent 3" w:locked="1" w:uiPriority="67"/>
    <w:lsdException w:name="Medium Shading 1 Accent 3" w:locked="1" w:uiPriority="68"/>
    <w:lsdException w:name="Medium Shading 2 Accent 3" w:locked="1" w:uiPriority="69"/>
    <w:lsdException w:name="Medium List 1 Accent 3" w:locked="1" w:uiPriority="70"/>
    <w:lsdException w:name="Medium List 2 Accent 3" w:locked="1" w:uiPriority="71"/>
    <w:lsdException w:name="Medium Grid 1 Accent 3" w:locked="1" w:uiPriority="72"/>
    <w:lsdException w:name="Medium Grid 2 Accent 3" w:locked="1" w:uiPriority="73"/>
    <w:lsdException w:name="Medium Grid 3 Accent 3" w:locked="1" w:uiPriority="60"/>
    <w:lsdException w:name="Dark List Accent 3" w:locked="1" w:uiPriority="61"/>
    <w:lsdException w:name="Colorful Shading Accent 3" w:locked="1" w:uiPriority="62"/>
    <w:lsdException w:name="Colorful List Accent 3" w:locked="1" w:uiPriority="63"/>
    <w:lsdException w:name="Colorful Grid Accent 3" w:locked="1" w:uiPriority="64"/>
    <w:lsdException w:name="Light Shading Accent 4" w:locked="1" w:uiPriority="65"/>
    <w:lsdException w:name="Light List Accent 4" w:locked="1" w:uiPriority="66"/>
    <w:lsdException w:name="Light Grid Accent 4" w:locked="1" w:uiPriority="67"/>
    <w:lsdException w:name="Medium Shading 1 Accent 4" w:locked="1" w:uiPriority="68"/>
    <w:lsdException w:name="Medium Shading 2 Accent 4" w:locked="1" w:uiPriority="69"/>
    <w:lsdException w:name="Medium List 1 Accent 4" w:locked="1" w:uiPriority="70"/>
    <w:lsdException w:name="Medium List 2 Accent 4" w:locked="1" w:uiPriority="71"/>
    <w:lsdException w:name="Medium Grid 1 Accent 4" w:locked="1" w:uiPriority="72"/>
    <w:lsdException w:name="Medium Grid 2 Accent 4" w:locked="1" w:uiPriority="73"/>
    <w:lsdException w:name="Medium Grid 3 Accent 4" w:locked="1" w:uiPriority="60"/>
    <w:lsdException w:name="Dark List Accent 4" w:locked="1" w:uiPriority="61"/>
    <w:lsdException w:name="Colorful Shading Accent 4" w:locked="1" w:uiPriority="62"/>
    <w:lsdException w:name="Colorful List Accent 4" w:locked="1" w:uiPriority="63"/>
    <w:lsdException w:name="Colorful Grid Accent 4" w:locked="1" w:uiPriority="64"/>
    <w:lsdException w:name="Light Shading Accent 5" w:locked="1" w:uiPriority="65"/>
    <w:lsdException w:name="Light List Accent 5" w:locked="1" w:uiPriority="66"/>
    <w:lsdException w:name="Light Grid Accent 5" w:locked="1" w:uiPriority="67"/>
    <w:lsdException w:name="Medium Shading 1 Accent 5" w:locked="1" w:uiPriority="68"/>
    <w:lsdException w:name="Medium Shading 2 Accent 5" w:locked="1" w:uiPriority="69"/>
    <w:lsdException w:name="Medium List 1 Accent 5" w:locked="1" w:uiPriority="70"/>
    <w:lsdException w:name="Medium List 2 Accent 5" w:locked="1" w:uiPriority="71"/>
    <w:lsdException w:name="Medium Grid 1 Accent 5" w:locked="1" w:uiPriority="72"/>
    <w:lsdException w:name="Medium Grid 2 Accent 5" w:locked="1" w:uiPriority="73"/>
    <w:lsdException w:name="Medium Grid 3 Accent 5" w:locked="1" w:uiPriority="60"/>
    <w:lsdException w:name="Dark List Accent 5" w:locked="1" w:uiPriority="61"/>
    <w:lsdException w:name="Colorful Shading Accent 5" w:locked="1" w:uiPriority="62"/>
    <w:lsdException w:name="Colorful List Accent 5" w:locked="1" w:uiPriority="63"/>
    <w:lsdException w:name="Colorful Grid Accent 5" w:locked="1" w:uiPriority="64"/>
    <w:lsdException w:name="Light Shading Accent 6" w:locked="1" w:uiPriority="65"/>
    <w:lsdException w:name="Light List Accent 6" w:locked="1" w:uiPriority="66"/>
    <w:lsdException w:name="Light Grid Accent 6" w:locked="1" w:uiPriority="67"/>
    <w:lsdException w:name="Medium Shading 1 Accent 6" w:locked="1" w:uiPriority="68"/>
    <w:lsdException w:name="Medium Shading 2 Accent 6" w:locked="1" w:uiPriority="69"/>
    <w:lsdException w:name="Medium List 1 Accent 6" w:locked="1" w:uiPriority="70"/>
    <w:lsdException w:name="Medium List 2 Accent 6" w:locked="1" w:uiPriority="71"/>
    <w:lsdException w:name="Medium Grid 1 Accent 6" w:locked="1" w:uiPriority="72"/>
    <w:lsdException w:name="Medium Grid 2 Accent 6" w:locked="1" w:uiPriority="73"/>
    <w:lsdException w:name="Medium Grid 3 Accent 6" w:locked="1" w:uiPriority="60"/>
    <w:lsdException w:name="Dark List Accent 6" w:locked="1" w:uiPriority="61"/>
    <w:lsdException w:name="Colorful Shading Accent 6" w:locked="1" w:uiPriority="62"/>
    <w:lsdException w:name="Colorful List Accent 6" w:locked="1" w:uiPriority="63"/>
    <w:lsdException w:name="Colorful Grid Accent 6" w:locked="1" w:uiPriority="64"/>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69" w:qFormat="1"/>
    <w:lsdException w:name="Bibliography" w:locked="1" w:semiHidden="1" w:uiPriority="70" w:unhideWhenUsed="1"/>
    <w:lsdException w:name="TOC Heading" w:locked="1" w:semiHidden="1" w:uiPriority="39" w:unhideWhenUsed="1" w:qFormat="1"/>
    <w:lsdException w:name="Plain Table 1" w:locked="1" w:uiPriority="72"/>
    <w:lsdException w:name="Plain Table 2" w:locked="1" w:uiPriority="42"/>
    <w:lsdException w:name="Plain Table 3" w:locked="1" w:qFormat="1"/>
    <w:lsdException w:name="Plain Table 4" w:locked="1" w:qFormat="1"/>
    <w:lsdException w:name="Plain Table 5" w:locked="1" w:qFormat="1"/>
    <w:lsdException w:name="Grid Table Light" w:locked="1" w:qFormat="1"/>
    <w:lsdException w:name="Grid Table 1 Light" w:qFormat="1"/>
    <w:lsdException w:name="Grid Table 3" w:uiPriority="39"/>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598D"/>
    <w:pPr>
      <w:spacing w:after="200" w:line="276" w:lineRule="auto"/>
    </w:pPr>
    <w:rPr>
      <w:rFonts w:asciiTheme="minorHAnsi" w:hAnsiTheme="minorHAnsi"/>
      <w:sz w:val="18"/>
      <w:szCs w:val="18"/>
      <w:lang w:eastAsia="en-US"/>
    </w:rPr>
  </w:style>
  <w:style w:type="paragraph" w:styleId="Heading1">
    <w:name w:val="heading 1"/>
    <w:basedOn w:val="LTU-Sectionheading"/>
    <w:next w:val="Normal"/>
    <w:link w:val="Heading1Char"/>
    <w:uiPriority w:val="99"/>
    <w:qFormat/>
    <w:rsid w:val="0038598D"/>
    <w:pPr>
      <w:outlineLvl w:val="0"/>
    </w:pPr>
  </w:style>
  <w:style w:type="paragraph" w:styleId="Heading2">
    <w:name w:val="heading 2"/>
    <w:basedOn w:val="Normal"/>
    <w:next w:val="Normal"/>
    <w:link w:val="Heading2Char"/>
    <w:uiPriority w:val="9"/>
    <w:qFormat/>
    <w:locked/>
    <w:rsid w:val="0038598D"/>
    <w:pPr>
      <w:spacing w:before="240" w:after="80"/>
      <w:outlineLvl w:val="1"/>
    </w:pPr>
    <w:rPr>
      <w:rFonts w:eastAsia="MS Mincho"/>
      <w:b/>
      <w:spacing w:val="5"/>
      <w:sz w:val="24"/>
      <w:szCs w:val="28"/>
    </w:rPr>
  </w:style>
  <w:style w:type="paragraph" w:styleId="Heading3">
    <w:name w:val="heading 3"/>
    <w:basedOn w:val="Normal"/>
    <w:next w:val="Normal"/>
    <w:link w:val="Heading3Char"/>
    <w:uiPriority w:val="99"/>
    <w:qFormat/>
    <w:locked/>
    <w:rsid w:val="0038598D"/>
    <w:pPr>
      <w:outlineLvl w:val="2"/>
    </w:pPr>
    <w:rPr>
      <w:rFonts w:eastAsia="MS Mincho"/>
      <w:b/>
      <w:sz w:val="24"/>
      <w:lang w:val="en-US" w:bidi="en-US"/>
    </w:rPr>
  </w:style>
  <w:style w:type="paragraph" w:styleId="Heading4">
    <w:name w:val="heading 4"/>
    <w:basedOn w:val="Normal"/>
    <w:next w:val="Normal"/>
    <w:link w:val="Heading4Char"/>
    <w:uiPriority w:val="9"/>
    <w:qFormat/>
    <w:locked/>
    <w:rsid w:val="0038598D"/>
    <w:pPr>
      <w:keepNext/>
      <w:keepLines/>
      <w:spacing w:before="200" w:after="0"/>
      <w:outlineLvl w:val="3"/>
    </w:pPr>
    <w:rPr>
      <w:rFonts w:ascii="Cambria" w:eastAsia="MS Gothic" w:hAnsi="Cambria"/>
      <w:b/>
      <w:bCs/>
      <w:i/>
      <w:iCs/>
      <w:color w:val="4F81BD"/>
    </w:rPr>
  </w:style>
  <w:style w:type="paragraph" w:styleId="Heading5">
    <w:name w:val="heading 5"/>
    <w:basedOn w:val="Normal"/>
    <w:next w:val="Normal"/>
    <w:link w:val="Heading5Char"/>
    <w:uiPriority w:val="9"/>
    <w:unhideWhenUsed/>
    <w:qFormat/>
    <w:rsid w:val="0038598D"/>
    <w:pPr>
      <w:keepNext/>
      <w:spacing w:after="60"/>
      <w:outlineLvl w:val="4"/>
    </w:pPr>
    <w:rPr>
      <w:rFonts w:cstheme="minorHAnsi"/>
      <w:b/>
      <w:bCs/>
      <w:sz w:val="24"/>
      <w:szCs w:val="20"/>
    </w:rPr>
  </w:style>
  <w:style w:type="paragraph" w:styleId="Heading6">
    <w:name w:val="heading 6"/>
    <w:basedOn w:val="Normal"/>
    <w:next w:val="Normal"/>
    <w:link w:val="Heading6Char"/>
    <w:uiPriority w:val="9"/>
    <w:unhideWhenUsed/>
    <w:qFormat/>
    <w:rsid w:val="0038598D"/>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38598D"/>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38598D"/>
    <w:pPr>
      <w:keepNext/>
      <w:keepLines/>
      <w:spacing w:before="80" w:after="0" w:line="240" w:lineRule="auto"/>
      <w:outlineLvl w:val="7"/>
    </w:pPr>
    <w:rPr>
      <w:rFonts w:asciiTheme="majorHAnsi" w:eastAsiaTheme="majorEastAsia" w:hAnsiTheme="majorHAnsi" w:cstheme="majorBidi"/>
      <w:caps/>
      <w:sz w:val="21"/>
      <w:szCs w:val="21"/>
    </w:rPr>
  </w:style>
  <w:style w:type="paragraph" w:styleId="Heading9">
    <w:name w:val="heading 9"/>
    <w:basedOn w:val="Normal"/>
    <w:next w:val="Normal"/>
    <w:link w:val="Heading9Char"/>
    <w:uiPriority w:val="9"/>
    <w:semiHidden/>
    <w:unhideWhenUsed/>
    <w:qFormat/>
    <w:rsid w:val="0038598D"/>
    <w:pPr>
      <w:keepNext/>
      <w:keepLines/>
      <w:spacing w:before="80" w:after="0" w:line="240" w:lineRule="auto"/>
      <w:outlineLvl w:val="8"/>
    </w:pPr>
    <w:rPr>
      <w:rFonts w:asciiTheme="majorHAnsi" w:eastAsiaTheme="majorEastAsia" w:hAnsiTheme="majorHAnsi" w:cstheme="majorBidi"/>
      <w:i/>
      <w:iCs/>
      <w:cap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TU-Sectionheading">
    <w:name w:val="LTU - Section heading"/>
    <w:basedOn w:val="LTU-Body10pt"/>
    <w:next w:val="LTU-Body10pt"/>
    <w:qFormat/>
    <w:rsid w:val="00292F96"/>
    <w:pPr>
      <w:spacing w:before="600" w:after="600" w:line="560" w:lineRule="exact"/>
    </w:pPr>
    <w:rPr>
      <w:rFonts w:eastAsia="MS Mincho"/>
      <w:b/>
      <w:spacing w:val="5"/>
      <w:sz w:val="48"/>
      <w:szCs w:val="56"/>
      <w:lang w:bidi="en-US"/>
    </w:rPr>
  </w:style>
  <w:style w:type="paragraph" w:customStyle="1" w:styleId="LTU-Body10pt">
    <w:name w:val="LTU - Body 10pt"/>
    <w:basedOn w:val="Normal"/>
    <w:link w:val="LTU-Body10ptChar"/>
    <w:qFormat/>
    <w:rsid w:val="0038598D"/>
    <w:pPr>
      <w:spacing w:line="360" w:lineRule="auto"/>
    </w:pPr>
    <w:rPr>
      <w:rFonts w:cs="Arial"/>
      <w:sz w:val="24"/>
    </w:rPr>
  </w:style>
  <w:style w:type="character" w:customStyle="1" w:styleId="LTU-Body10ptChar">
    <w:name w:val="LTU - Body 10pt Char"/>
    <w:basedOn w:val="DefaultParagraphFont"/>
    <w:link w:val="LTU-Body10pt"/>
    <w:rsid w:val="0038598D"/>
    <w:rPr>
      <w:rFonts w:asciiTheme="minorHAnsi" w:hAnsiTheme="minorHAnsi" w:cs="Arial"/>
      <w:sz w:val="24"/>
      <w:szCs w:val="18"/>
      <w:lang w:eastAsia="en-US"/>
    </w:rPr>
  </w:style>
  <w:style w:type="character" w:customStyle="1" w:styleId="Heading1Char">
    <w:name w:val="Heading 1 Char"/>
    <w:link w:val="Heading1"/>
    <w:uiPriority w:val="99"/>
    <w:rsid w:val="0038598D"/>
    <w:rPr>
      <w:rFonts w:asciiTheme="minorHAnsi" w:eastAsia="MS Mincho" w:hAnsiTheme="minorHAnsi" w:cs="Arial"/>
      <w:b/>
      <w:color w:val="565652"/>
      <w:spacing w:val="5"/>
      <w:sz w:val="48"/>
      <w:szCs w:val="56"/>
      <w:lang w:eastAsia="en-US" w:bidi="en-US"/>
    </w:rPr>
  </w:style>
  <w:style w:type="character" w:customStyle="1" w:styleId="Heading2Char">
    <w:name w:val="Heading 2 Char"/>
    <w:link w:val="Heading2"/>
    <w:uiPriority w:val="9"/>
    <w:rsid w:val="0038598D"/>
    <w:rPr>
      <w:rFonts w:asciiTheme="minorHAnsi" w:eastAsia="MS Mincho" w:hAnsiTheme="minorHAnsi"/>
      <w:b/>
      <w:spacing w:val="5"/>
      <w:sz w:val="24"/>
      <w:szCs w:val="28"/>
      <w:lang w:eastAsia="en-US"/>
    </w:rPr>
  </w:style>
  <w:style w:type="character" w:customStyle="1" w:styleId="Heading3Char">
    <w:name w:val="Heading 3 Char"/>
    <w:link w:val="Heading3"/>
    <w:uiPriority w:val="99"/>
    <w:rsid w:val="0038598D"/>
    <w:rPr>
      <w:rFonts w:asciiTheme="minorHAnsi" w:eastAsia="MS Mincho" w:hAnsiTheme="minorHAnsi"/>
      <w:b/>
      <w:sz w:val="24"/>
      <w:szCs w:val="18"/>
      <w:lang w:val="en-US" w:eastAsia="en-US" w:bidi="en-US"/>
    </w:rPr>
  </w:style>
  <w:style w:type="character" w:customStyle="1" w:styleId="Heading4Char">
    <w:name w:val="Heading 4 Char"/>
    <w:link w:val="Heading4"/>
    <w:uiPriority w:val="9"/>
    <w:rsid w:val="0038598D"/>
    <w:rPr>
      <w:rFonts w:ascii="Cambria" w:eastAsia="MS Gothic" w:hAnsi="Cambria"/>
      <w:b/>
      <w:bCs/>
      <w:i/>
      <w:iCs/>
      <w:color w:val="4F81BD"/>
      <w:sz w:val="18"/>
      <w:szCs w:val="18"/>
      <w:lang w:eastAsia="en-US"/>
    </w:rPr>
  </w:style>
  <w:style w:type="character" w:customStyle="1" w:styleId="Heading5Char">
    <w:name w:val="Heading 5 Char"/>
    <w:basedOn w:val="DefaultParagraphFont"/>
    <w:link w:val="Heading5"/>
    <w:uiPriority w:val="9"/>
    <w:rsid w:val="0038598D"/>
    <w:rPr>
      <w:rFonts w:asciiTheme="minorHAnsi" w:hAnsiTheme="minorHAnsi" w:cstheme="minorHAnsi"/>
      <w:b/>
      <w:bCs/>
      <w:sz w:val="24"/>
      <w:lang w:eastAsia="en-US"/>
    </w:rPr>
  </w:style>
  <w:style w:type="character" w:customStyle="1" w:styleId="Heading6Char">
    <w:name w:val="Heading 6 Char"/>
    <w:basedOn w:val="DefaultParagraphFont"/>
    <w:link w:val="Heading6"/>
    <w:uiPriority w:val="9"/>
    <w:rsid w:val="0038598D"/>
    <w:rPr>
      <w:rFonts w:asciiTheme="majorHAnsi" w:eastAsiaTheme="majorEastAsia" w:hAnsiTheme="majorHAnsi" w:cstheme="majorBidi"/>
      <w:i/>
      <w:iCs/>
      <w:sz w:val="24"/>
      <w:szCs w:val="24"/>
      <w:lang w:eastAsia="en-US"/>
    </w:rPr>
  </w:style>
  <w:style w:type="character" w:customStyle="1" w:styleId="Heading7Char">
    <w:name w:val="Heading 7 Char"/>
    <w:basedOn w:val="DefaultParagraphFont"/>
    <w:link w:val="Heading7"/>
    <w:uiPriority w:val="9"/>
    <w:semiHidden/>
    <w:rsid w:val="0038598D"/>
    <w:rPr>
      <w:rFonts w:asciiTheme="majorHAnsi" w:eastAsiaTheme="majorEastAsia" w:hAnsiTheme="majorHAnsi" w:cstheme="majorBidi"/>
      <w:color w:val="595959" w:themeColor="text1" w:themeTint="A6"/>
      <w:sz w:val="24"/>
      <w:szCs w:val="24"/>
      <w:lang w:eastAsia="en-US"/>
    </w:rPr>
  </w:style>
  <w:style w:type="character" w:customStyle="1" w:styleId="Heading8Char">
    <w:name w:val="Heading 8 Char"/>
    <w:basedOn w:val="DefaultParagraphFont"/>
    <w:link w:val="Heading8"/>
    <w:uiPriority w:val="9"/>
    <w:semiHidden/>
    <w:rsid w:val="0038598D"/>
    <w:rPr>
      <w:rFonts w:asciiTheme="majorHAnsi" w:eastAsiaTheme="majorEastAsia" w:hAnsiTheme="majorHAnsi" w:cstheme="majorBidi"/>
      <w:caps/>
      <w:sz w:val="21"/>
      <w:szCs w:val="21"/>
      <w:lang w:eastAsia="en-US"/>
    </w:rPr>
  </w:style>
  <w:style w:type="character" w:customStyle="1" w:styleId="Heading9Char">
    <w:name w:val="Heading 9 Char"/>
    <w:basedOn w:val="DefaultParagraphFont"/>
    <w:link w:val="Heading9"/>
    <w:uiPriority w:val="9"/>
    <w:semiHidden/>
    <w:rsid w:val="0038598D"/>
    <w:rPr>
      <w:rFonts w:asciiTheme="majorHAnsi" w:eastAsiaTheme="majorEastAsia" w:hAnsiTheme="majorHAnsi" w:cstheme="majorBidi"/>
      <w:i/>
      <w:iCs/>
      <w:caps/>
      <w:sz w:val="21"/>
      <w:szCs w:val="21"/>
      <w:lang w:eastAsia="en-US"/>
    </w:rPr>
  </w:style>
  <w:style w:type="paragraph" w:styleId="BalloonText">
    <w:name w:val="Balloon Text"/>
    <w:basedOn w:val="Normal"/>
    <w:link w:val="BalloonTextChar"/>
    <w:uiPriority w:val="99"/>
    <w:semiHidden/>
    <w:unhideWhenUsed/>
    <w:rsid w:val="0038598D"/>
    <w:pPr>
      <w:spacing w:after="0" w:line="240" w:lineRule="auto"/>
    </w:pPr>
    <w:rPr>
      <w:rFonts w:ascii="Tahoma" w:hAnsi="Tahoma" w:cs="Tahoma"/>
    </w:rPr>
  </w:style>
  <w:style w:type="character" w:customStyle="1" w:styleId="BalloonTextChar">
    <w:name w:val="Balloon Text Char"/>
    <w:link w:val="BalloonText"/>
    <w:uiPriority w:val="99"/>
    <w:semiHidden/>
    <w:rsid w:val="0038598D"/>
    <w:rPr>
      <w:rFonts w:ascii="Tahoma" w:hAnsi="Tahoma" w:cs="Tahoma"/>
      <w:sz w:val="18"/>
      <w:szCs w:val="18"/>
      <w:lang w:eastAsia="en-US"/>
    </w:rPr>
  </w:style>
  <w:style w:type="paragraph" w:customStyle="1" w:styleId="LTU-Infoline">
    <w:name w:val="LTU - Info line"/>
    <w:basedOn w:val="LTU-Body0pt"/>
    <w:qFormat/>
    <w:rsid w:val="0038598D"/>
    <w:rPr>
      <w:color w:val="69584C"/>
    </w:rPr>
  </w:style>
  <w:style w:type="paragraph" w:customStyle="1" w:styleId="LTU-Body0pt">
    <w:name w:val="LTU - Body 0pt"/>
    <w:basedOn w:val="LTU-Body10pt"/>
    <w:qFormat/>
    <w:rsid w:val="0038598D"/>
    <w:pPr>
      <w:spacing w:after="0" w:line="240" w:lineRule="auto"/>
    </w:pPr>
    <w:rPr>
      <w:color w:val="000000"/>
      <w:szCs w:val="17"/>
    </w:rPr>
  </w:style>
  <w:style w:type="paragraph" w:customStyle="1" w:styleId="LTU-Table-Heading">
    <w:name w:val="LTU - Table - Heading"/>
    <w:basedOn w:val="LTU-Body10pt"/>
    <w:qFormat/>
    <w:rsid w:val="006F1C63"/>
    <w:pPr>
      <w:spacing w:before="60" w:after="60" w:line="240" w:lineRule="auto"/>
    </w:pPr>
    <w:rPr>
      <w:caps/>
      <w:color w:val="000000" w:themeColor="text1"/>
      <w:szCs w:val="17"/>
    </w:rPr>
  </w:style>
  <w:style w:type="paragraph" w:styleId="Header">
    <w:name w:val="header"/>
    <w:basedOn w:val="Normal"/>
    <w:link w:val="HeaderChar"/>
    <w:uiPriority w:val="99"/>
    <w:rsid w:val="003859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598D"/>
    <w:rPr>
      <w:rFonts w:asciiTheme="minorHAnsi" w:hAnsiTheme="minorHAnsi"/>
      <w:sz w:val="18"/>
      <w:szCs w:val="18"/>
      <w:lang w:eastAsia="en-US"/>
    </w:rPr>
  </w:style>
  <w:style w:type="paragraph" w:styleId="Footer">
    <w:name w:val="footer"/>
    <w:basedOn w:val="Normal"/>
    <w:link w:val="FooterChar"/>
    <w:uiPriority w:val="99"/>
    <w:rsid w:val="003859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598D"/>
    <w:rPr>
      <w:rFonts w:asciiTheme="minorHAnsi" w:hAnsiTheme="minorHAnsi"/>
      <w:sz w:val="18"/>
      <w:szCs w:val="18"/>
      <w:lang w:eastAsia="en-US"/>
    </w:rPr>
  </w:style>
  <w:style w:type="paragraph" w:customStyle="1" w:styleId="LTU-Cover-Subhead2">
    <w:name w:val="LTU - Cover - Subhead 2"/>
    <w:basedOn w:val="LTU-Cover-Subhead1"/>
    <w:next w:val="Normal"/>
    <w:qFormat/>
    <w:rsid w:val="0038598D"/>
    <w:rPr>
      <w:b w:val="0"/>
    </w:rPr>
  </w:style>
  <w:style w:type="paragraph" w:customStyle="1" w:styleId="LTU-Cover-Subhead1">
    <w:name w:val="LTU - Cover - Subhead 1"/>
    <w:basedOn w:val="Normal"/>
    <w:qFormat/>
    <w:rsid w:val="0038598D"/>
    <w:pPr>
      <w:spacing w:after="0" w:line="240" w:lineRule="auto"/>
      <w:ind w:right="-482"/>
    </w:pPr>
    <w:rPr>
      <w:b/>
      <w:color w:val="625F5E"/>
    </w:rPr>
  </w:style>
  <w:style w:type="table" w:styleId="TableGrid">
    <w:name w:val="Table Grid"/>
    <w:basedOn w:val="TableNormal"/>
    <w:uiPriority w:val="39"/>
    <w:locked/>
    <w:rsid w:val="003859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598D"/>
    <w:pPr>
      <w:autoSpaceDE w:val="0"/>
      <w:autoSpaceDN w:val="0"/>
      <w:adjustRightInd w:val="0"/>
    </w:pPr>
    <w:rPr>
      <w:rFonts w:eastAsia="MS Mincho" w:cs="Calibri"/>
      <w:color w:val="000000"/>
      <w:sz w:val="18"/>
      <w:szCs w:val="24"/>
      <w:lang w:eastAsia="en-US"/>
    </w:rPr>
  </w:style>
  <w:style w:type="paragraph" w:styleId="TOC1">
    <w:name w:val="toc 1"/>
    <w:basedOn w:val="TOC2"/>
    <w:next w:val="Normal"/>
    <w:autoRedefine/>
    <w:uiPriority w:val="39"/>
    <w:qFormat/>
    <w:rsid w:val="00B342D0"/>
    <w:rPr>
      <w:rFonts w:asciiTheme="majorHAnsi" w:hAnsiTheme="majorHAnsi"/>
      <w:bCs/>
      <w:iCs w:val="0"/>
      <w:caps/>
      <w:lang w:bidi="en-US"/>
    </w:rPr>
  </w:style>
  <w:style w:type="paragraph" w:styleId="TOC2">
    <w:name w:val="toc 2"/>
    <w:basedOn w:val="TOC4"/>
    <w:next w:val="Normal"/>
    <w:autoRedefine/>
    <w:uiPriority w:val="39"/>
    <w:qFormat/>
    <w:rsid w:val="00B342D0"/>
    <w:pPr>
      <w:pBdr>
        <w:top w:val="single" w:sz="4" w:space="2" w:color="696766"/>
        <w:between w:val="single" w:sz="4" w:space="2" w:color="696766"/>
      </w:pBdr>
      <w:tabs>
        <w:tab w:val="right" w:pos="9769"/>
      </w:tabs>
      <w:spacing w:line="240" w:lineRule="auto"/>
      <w:ind w:left="927"/>
    </w:pPr>
    <w:rPr>
      <w:rFonts w:cs="Arial"/>
      <w:iCs/>
      <w:noProof/>
      <w:color w:val="000000"/>
    </w:rPr>
  </w:style>
  <w:style w:type="paragraph" w:styleId="TOC4">
    <w:name w:val="toc 4"/>
    <w:basedOn w:val="Normal"/>
    <w:next w:val="Normal"/>
    <w:autoRedefine/>
    <w:uiPriority w:val="39"/>
    <w:rsid w:val="0038598D"/>
    <w:pPr>
      <w:spacing w:after="0"/>
      <w:ind w:left="600"/>
    </w:pPr>
  </w:style>
  <w:style w:type="character" w:styleId="Hyperlink">
    <w:name w:val="Hyperlink"/>
    <w:uiPriority w:val="99"/>
    <w:locked/>
    <w:rsid w:val="0038598D"/>
    <w:rPr>
      <w:b w:val="0"/>
      <w:color w:val="808080" w:themeColor="background2" w:themeShade="80"/>
      <w:u w:val="single"/>
    </w:rPr>
  </w:style>
  <w:style w:type="paragraph" w:styleId="TOC3">
    <w:name w:val="toc 3"/>
    <w:basedOn w:val="TOC2"/>
    <w:next w:val="Normal"/>
    <w:autoRedefine/>
    <w:uiPriority w:val="39"/>
    <w:unhideWhenUsed/>
    <w:qFormat/>
    <w:rsid w:val="0038598D"/>
    <w:rPr>
      <w:sz w:val="16"/>
    </w:rPr>
  </w:style>
  <w:style w:type="paragraph" w:styleId="TOC5">
    <w:name w:val="toc 5"/>
    <w:basedOn w:val="Normal"/>
    <w:next w:val="Normal"/>
    <w:autoRedefine/>
    <w:uiPriority w:val="39"/>
    <w:rsid w:val="0038598D"/>
    <w:pPr>
      <w:spacing w:after="0"/>
      <w:ind w:left="800"/>
    </w:pPr>
  </w:style>
  <w:style w:type="paragraph" w:styleId="TOC7">
    <w:name w:val="toc 7"/>
    <w:basedOn w:val="Normal"/>
    <w:next w:val="Normal"/>
    <w:autoRedefine/>
    <w:uiPriority w:val="39"/>
    <w:rsid w:val="0038598D"/>
    <w:pPr>
      <w:spacing w:after="0"/>
      <w:ind w:left="1200"/>
    </w:pPr>
  </w:style>
  <w:style w:type="paragraph" w:styleId="TOC8">
    <w:name w:val="toc 8"/>
    <w:basedOn w:val="Normal"/>
    <w:next w:val="Normal"/>
    <w:autoRedefine/>
    <w:uiPriority w:val="39"/>
    <w:rsid w:val="0038598D"/>
    <w:pPr>
      <w:spacing w:after="0"/>
      <w:ind w:left="1400"/>
    </w:pPr>
  </w:style>
  <w:style w:type="paragraph" w:styleId="TOC9">
    <w:name w:val="toc 9"/>
    <w:basedOn w:val="Normal"/>
    <w:next w:val="Normal"/>
    <w:autoRedefine/>
    <w:uiPriority w:val="39"/>
    <w:rsid w:val="0038598D"/>
    <w:pPr>
      <w:spacing w:after="0"/>
      <w:ind w:left="1600"/>
    </w:pPr>
  </w:style>
  <w:style w:type="paragraph" w:customStyle="1" w:styleId="LTU-Subhead3">
    <w:name w:val="LTU - Subhead 3"/>
    <w:basedOn w:val="LTU-Body10pt"/>
    <w:next w:val="LTU-Body10pt"/>
    <w:qFormat/>
    <w:rsid w:val="0038598D"/>
    <w:pPr>
      <w:spacing w:after="57"/>
    </w:pPr>
    <w:rPr>
      <w:b/>
      <w:i/>
      <w:szCs w:val="20"/>
    </w:rPr>
  </w:style>
  <w:style w:type="table" w:styleId="MediumGrid3-Accent1">
    <w:name w:val="Medium Grid 3 Accent 1"/>
    <w:basedOn w:val="TableNormal"/>
    <w:uiPriority w:val="64"/>
    <w:locked/>
    <w:rsid w:val="0038598D"/>
    <w:pPr>
      <w:jc w:val="both"/>
    </w:pPr>
    <w:rPr>
      <w:rFonts w:eastAsia="MS Mincho"/>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
    <w:name w:val="Medium Grid 3"/>
    <w:basedOn w:val="TableNormal"/>
    <w:uiPriority w:val="60"/>
    <w:locked/>
    <w:rsid w:val="0038598D"/>
    <w:pPr>
      <w:jc w:val="both"/>
    </w:pPr>
    <w:rPr>
      <w:rFonts w:eastAsia="MS Mincho"/>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EndnoteText">
    <w:name w:val="endnote text"/>
    <w:basedOn w:val="Normal"/>
    <w:link w:val="EndnoteTextChar"/>
    <w:uiPriority w:val="99"/>
    <w:semiHidden/>
    <w:unhideWhenUsed/>
    <w:rsid w:val="0038598D"/>
    <w:pPr>
      <w:spacing w:after="0" w:line="240" w:lineRule="auto"/>
    </w:pPr>
  </w:style>
  <w:style w:type="character" w:customStyle="1" w:styleId="EndnoteTextChar">
    <w:name w:val="Endnote Text Char"/>
    <w:basedOn w:val="DefaultParagraphFont"/>
    <w:link w:val="EndnoteText"/>
    <w:uiPriority w:val="99"/>
    <w:semiHidden/>
    <w:rsid w:val="0038598D"/>
    <w:rPr>
      <w:rFonts w:asciiTheme="minorHAnsi" w:hAnsiTheme="minorHAnsi"/>
      <w:sz w:val="18"/>
      <w:szCs w:val="18"/>
      <w:lang w:eastAsia="en-US"/>
    </w:rPr>
  </w:style>
  <w:style w:type="paragraph" w:customStyle="1" w:styleId="LTU-Subhead1">
    <w:name w:val="LTU - Subhead 1"/>
    <w:basedOn w:val="Normal"/>
    <w:next w:val="LTU-Body10pt"/>
    <w:qFormat/>
    <w:rsid w:val="00292F96"/>
    <w:pPr>
      <w:autoSpaceDE w:val="0"/>
      <w:autoSpaceDN w:val="0"/>
      <w:adjustRightInd w:val="0"/>
      <w:spacing w:before="452" w:after="100"/>
      <w:textAlignment w:val="center"/>
    </w:pPr>
    <w:rPr>
      <w:rFonts w:cs="Arial"/>
      <w:b/>
      <w:caps/>
      <w:sz w:val="32"/>
      <w:szCs w:val="25"/>
      <w:lang w:val="en-GB"/>
    </w:rPr>
  </w:style>
  <w:style w:type="paragraph" w:customStyle="1" w:styleId="LTU-Subhead2">
    <w:name w:val="LTU - Subhead 2"/>
    <w:basedOn w:val="Normal"/>
    <w:next w:val="LTU-Body10pt"/>
    <w:qFormat/>
    <w:rsid w:val="00292F96"/>
    <w:pPr>
      <w:autoSpaceDE w:val="0"/>
      <w:autoSpaceDN w:val="0"/>
      <w:adjustRightInd w:val="0"/>
      <w:spacing w:before="226" w:after="113" w:line="240" w:lineRule="auto"/>
      <w:textAlignment w:val="center"/>
    </w:pPr>
    <w:rPr>
      <w:rFonts w:cs="Brioni Std Medium"/>
      <w:b/>
      <w:sz w:val="28"/>
      <w:szCs w:val="23"/>
      <w:lang w:val="en-GB"/>
    </w:rPr>
  </w:style>
  <w:style w:type="paragraph" w:customStyle="1" w:styleId="LTU-Bullets">
    <w:name w:val="LTU - Bullets"/>
    <w:basedOn w:val="Normal"/>
    <w:qFormat/>
    <w:rsid w:val="0038598D"/>
    <w:pPr>
      <w:spacing w:after="0"/>
      <w:ind w:left="170" w:hanging="170"/>
      <w:contextualSpacing/>
    </w:pPr>
    <w:rPr>
      <w:rFonts w:eastAsia="MS Mincho" w:cs="Arial"/>
      <w:sz w:val="24"/>
      <w:lang w:bidi="en-US"/>
    </w:rPr>
  </w:style>
  <w:style w:type="paragraph" w:customStyle="1" w:styleId="LTU-Bullets10pt">
    <w:name w:val="LTU - Bullets 10pt"/>
    <w:basedOn w:val="Normal"/>
    <w:next w:val="LTU-Body10pt"/>
    <w:qFormat/>
    <w:rsid w:val="00B342D0"/>
    <w:pPr>
      <w:numPr>
        <w:numId w:val="32"/>
      </w:numPr>
      <w:spacing w:before="120" w:after="120" w:line="360" w:lineRule="auto"/>
    </w:pPr>
    <w:rPr>
      <w:rFonts w:eastAsia="Times New Roman" w:cs="Arial"/>
      <w:color w:val="000000"/>
      <w:sz w:val="24"/>
      <w:lang w:eastAsia="en-AU" w:bidi="en-US"/>
    </w:rPr>
  </w:style>
  <w:style w:type="paragraph" w:customStyle="1" w:styleId="LTU-Body5pt">
    <w:name w:val="LTU - Body 5pt"/>
    <w:basedOn w:val="LTU-Body10pt"/>
    <w:qFormat/>
    <w:rsid w:val="0038598D"/>
    <w:pPr>
      <w:spacing w:after="100"/>
    </w:pPr>
  </w:style>
  <w:style w:type="paragraph" w:customStyle="1" w:styleId="LTU-Bulletssub0pt">
    <w:name w:val="LTU - Bullets (sub) 0pt"/>
    <w:basedOn w:val="LTU-Bullets"/>
    <w:qFormat/>
    <w:rsid w:val="0038598D"/>
    <w:pPr>
      <w:numPr>
        <w:ilvl w:val="1"/>
        <w:numId w:val="29"/>
      </w:numPr>
      <w:spacing w:before="60" w:after="60" w:line="360" w:lineRule="auto"/>
      <w:contextualSpacing w:val="0"/>
    </w:pPr>
  </w:style>
  <w:style w:type="paragraph" w:customStyle="1" w:styleId="LTU-Bullets0pt">
    <w:name w:val="LTU - Bullets 0pt"/>
    <w:basedOn w:val="LTU-Bullets10pt"/>
    <w:qFormat/>
    <w:rsid w:val="003A76AD"/>
    <w:pPr>
      <w:numPr>
        <w:numId w:val="46"/>
      </w:numPr>
      <w:spacing w:line="240" w:lineRule="auto"/>
    </w:pPr>
  </w:style>
  <w:style w:type="paragraph" w:customStyle="1" w:styleId="LTU-Subhead10pt">
    <w:name w:val="LTU - Subhead 1 0pt"/>
    <w:basedOn w:val="LTU-Subhead1"/>
    <w:qFormat/>
    <w:rsid w:val="0038598D"/>
    <w:pPr>
      <w:spacing w:before="0"/>
    </w:pPr>
  </w:style>
  <w:style w:type="paragraph" w:customStyle="1" w:styleId="LTU-Bulletssub10pt">
    <w:name w:val="LTU - Bullets (sub) 10pt"/>
    <w:basedOn w:val="LTU-Bulletssub0pt"/>
    <w:next w:val="LTU-Body10pt"/>
    <w:qFormat/>
    <w:rsid w:val="0038598D"/>
    <w:pPr>
      <w:spacing w:after="200"/>
      <w:ind w:left="714" w:hanging="357"/>
    </w:pPr>
  </w:style>
  <w:style w:type="paragraph" w:customStyle="1" w:styleId="LTU-Header-Left">
    <w:name w:val="LTU - Header- Left"/>
    <w:basedOn w:val="Normal"/>
    <w:qFormat/>
    <w:rsid w:val="0038598D"/>
    <w:pPr>
      <w:pBdr>
        <w:bottom w:val="single" w:sz="4" w:space="1" w:color="565652"/>
      </w:pBdr>
    </w:pPr>
    <w:rPr>
      <w:color w:val="696766"/>
    </w:rPr>
  </w:style>
  <w:style w:type="paragraph" w:styleId="FootnoteText">
    <w:name w:val="footnote text"/>
    <w:basedOn w:val="Normal"/>
    <w:link w:val="FootnoteTextChar"/>
    <w:uiPriority w:val="99"/>
    <w:semiHidden/>
    <w:unhideWhenUsed/>
    <w:rsid w:val="0038598D"/>
    <w:pPr>
      <w:spacing w:after="0" w:line="240" w:lineRule="auto"/>
    </w:pPr>
  </w:style>
  <w:style w:type="character" w:customStyle="1" w:styleId="FootnoteTextChar">
    <w:name w:val="Footnote Text Char"/>
    <w:basedOn w:val="DefaultParagraphFont"/>
    <w:link w:val="FootnoteText"/>
    <w:uiPriority w:val="99"/>
    <w:semiHidden/>
    <w:rsid w:val="0038598D"/>
    <w:rPr>
      <w:rFonts w:asciiTheme="minorHAnsi" w:hAnsiTheme="minorHAnsi"/>
      <w:sz w:val="18"/>
      <w:szCs w:val="18"/>
      <w:lang w:eastAsia="en-US"/>
    </w:rPr>
  </w:style>
  <w:style w:type="paragraph" w:customStyle="1" w:styleId="LTU-Tablebody">
    <w:name w:val="LTU - Table body"/>
    <w:basedOn w:val="LTU-Body10pt"/>
    <w:qFormat/>
    <w:rsid w:val="0038598D"/>
    <w:pPr>
      <w:spacing w:before="60" w:after="60" w:line="240" w:lineRule="auto"/>
    </w:pPr>
    <w:rPr>
      <w:rFonts w:eastAsia="MS Mincho"/>
      <w:color w:val="000000"/>
      <w:lang w:bidi="en-US"/>
    </w:rPr>
  </w:style>
  <w:style w:type="table" w:customStyle="1" w:styleId="LTU-Table1">
    <w:name w:val="LTU - Table 1"/>
    <w:basedOn w:val="TableNormal"/>
    <w:uiPriority w:val="99"/>
    <w:rsid w:val="0038598D"/>
    <w:rPr>
      <w:color w:val="000000"/>
    </w:rPr>
    <w:tblPr>
      <w:tblInd w:w="57" w:type="dxa"/>
      <w:tblBorders>
        <w:bottom w:val="single" w:sz="2" w:space="0" w:color="auto"/>
        <w:insideH w:val="single" w:sz="2" w:space="0" w:color="auto"/>
        <w:insideV w:val="single" w:sz="2" w:space="0" w:color="auto"/>
      </w:tblBorders>
      <w:tblCellMar>
        <w:top w:w="40" w:type="dxa"/>
        <w:left w:w="40" w:type="dxa"/>
        <w:bottom w:w="40" w:type="dxa"/>
        <w:right w:w="40" w:type="dxa"/>
      </w:tblCellMar>
    </w:tblPr>
    <w:tcPr>
      <w:tcMar>
        <w:top w:w="57" w:type="dxa"/>
        <w:left w:w="57" w:type="dxa"/>
        <w:bottom w:w="57" w:type="dxa"/>
        <w:right w:w="57" w:type="dxa"/>
      </w:tcMar>
      <w:vAlign w:val="center"/>
    </w:tcPr>
    <w:tblStylePr w:type="firstRow">
      <w:rPr>
        <w:rFonts w:asciiTheme="majorHAnsi" w:hAnsiTheme="majorHAnsi"/>
        <w:b/>
        <w:caps/>
        <w:smallCaps w:val="0"/>
        <w:color w:val="FFFFFF"/>
        <w:sz w:val="18"/>
      </w:rPr>
      <w:tblPr/>
      <w:tcPr>
        <w:tcBorders>
          <w:top w:val="nil"/>
          <w:left w:val="nil"/>
          <w:bottom w:val="nil"/>
          <w:right w:val="nil"/>
          <w:insideH w:val="nil"/>
          <w:insideV w:val="single" w:sz="4" w:space="0" w:color="FFFFFF" w:themeColor="background1"/>
        </w:tcBorders>
        <w:shd w:val="clear" w:color="auto" w:fill="EE3124" w:themeFill="accent1"/>
      </w:tcPr>
    </w:tblStylePr>
    <w:tblStylePr w:type="lastRow">
      <w:tblPr/>
      <w:tcPr>
        <w:tcBorders>
          <w:top w:val="nil"/>
          <w:left w:val="nil"/>
          <w:bottom w:val="single" w:sz="4" w:space="0" w:color="696766"/>
          <w:right w:val="nil"/>
          <w:insideH w:val="single" w:sz="4" w:space="0" w:color="696766"/>
          <w:insideV w:val="single" w:sz="4" w:space="0" w:color="696766"/>
          <w:tl2br w:val="nil"/>
          <w:tr2bl w:val="nil"/>
        </w:tcBorders>
      </w:tcPr>
    </w:tblStylePr>
  </w:style>
  <w:style w:type="paragraph" w:customStyle="1" w:styleId="LTU-Pagenumber-Right">
    <w:name w:val="LTU - Page number - Right"/>
    <w:basedOn w:val="Normal"/>
    <w:qFormat/>
    <w:rsid w:val="0038598D"/>
    <w:pPr>
      <w:spacing w:after="0" w:line="240" w:lineRule="auto"/>
    </w:pPr>
    <w:rPr>
      <w:rFonts w:cs="Arial"/>
      <w:b/>
      <w:color w:val="FFFFFF"/>
    </w:rPr>
  </w:style>
  <w:style w:type="paragraph" w:customStyle="1" w:styleId="LTU-Pagenumber-Left">
    <w:name w:val="LTU - Page number - Left"/>
    <w:basedOn w:val="LTU-Pagenumber-Right"/>
    <w:qFormat/>
    <w:rsid w:val="0038598D"/>
    <w:pPr>
      <w:jc w:val="right"/>
    </w:pPr>
  </w:style>
  <w:style w:type="paragraph" w:customStyle="1" w:styleId="LTU-Footer-Right">
    <w:name w:val="LTU - Footer - Right"/>
    <w:basedOn w:val="Normal"/>
    <w:qFormat/>
    <w:rsid w:val="0038598D"/>
    <w:pPr>
      <w:tabs>
        <w:tab w:val="center" w:pos="4513"/>
        <w:tab w:val="right" w:pos="9026"/>
      </w:tabs>
      <w:spacing w:after="0" w:line="240" w:lineRule="auto"/>
      <w:ind w:firstLine="720"/>
      <w:jc w:val="right"/>
    </w:pPr>
    <w:rPr>
      <w:color w:val="696766"/>
    </w:rPr>
  </w:style>
  <w:style w:type="paragraph" w:customStyle="1" w:styleId="LTU-Footer-Left">
    <w:name w:val="LTU - Footer - Left"/>
    <w:basedOn w:val="LTU-Footer-Right"/>
    <w:qFormat/>
    <w:rsid w:val="0038598D"/>
    <w:pPr>
      <w:ind w:firstLine="0"/>
      <w:jc w:val="left"/>
    </w:pPr>
  </w:style>
  <w:style w:type="paragraph" w:customStyle="1" w:styleId="ColorfulList-Accent11">
    <w:name w:val="Colorful List - Accent 11"/>
    <w:basedOn w:val="Normal"/>
    <w:uiPriority w:val="34"/>
    <w:unhideWhenUsed/>
    <w:qFormat/>
    <w:locked/>
    <w:rsid w:val="0038598D"/>
    <w:pPr>
      <w:ind w:left="720"/>
      <w:contextualSpacing/>
    </w:pPr>
  </w:style>
  <w:style w:type="paragraph" w:styleId="TOC6">
    <w:name w:val="toc 6"/>
    <w:basedOn w:val="Normal"/>
    <w:next w:val="Normal"/>
    <w:autoRedefine/>
    <w:uiPriority w:val="39"/>
    <w:rsid w:val="0038598D"/>
    <w:pPr>
      <w:spacing w:after="0"/>
      <w:ind w:left="1000"/>
    </w:pPr>
  </w:style>
  <w:style w:type="character" w:styleId="EndnoteReference">
    <w:name w:val="endnote reference"/>
    <w:uiPriority w:val="99"/>
    <w:semiHidden/>
    <w:unhideWhenUsed/>
    <w:rsid w:val="0038598D"/>
    <w:rPr>
      <w:vertAlign w:val="superscript"/>
    </w:rPr>
  </w:style>
  <w:style w:type="character" w:styleId="FootnoteReference">
    <w:name w:val="footnote reference"/>
    <w:uiPriority w:val="99"/>
    <w:unhideWhenUsed/>
    <w:rsid w:val="0038598D"/>
    <w:rPr>
      <w:vertAlign w:val="superscript"/>
    </w:rPr>
  </w:style>
  <w:style w:type="paragraph" w:customStyle="1" w:styleId="LTU-Footnote">
    <w:name w:val="LTU - Footnote"/>
    <w:basedOn w:val="FootnoteText"/>
    <w:link w:val="LTU-FootnoteChar"/>
    <w:qFormat/>
    <w:rsid w:val="0038598D"/>
    <w:pPr>
      <w:autoSpaceDE w:val="0"/>
      <w:autoSpaceDN w:val="0"/>
      <w:adjustRightInd w:val="0"/>
      <w:spacing w:after="75"/>
      <w:ind w:left="227" w:hanging="227"/>
    </w:pPr>
    <w:rPr>
      <w:rFonts w:cs="Calibri"/>
      <w:color w:val="625F5E"/>
      <w:sz w:val="16"/>
    </w:rPr>
  </w:style>
  <w:style w:type="character" w:customStyle="1" w:styleId="LTU-FootnoteChar">
    <w:name w:val="LTU - Footnote Char"/>
    <w:link w:val="LTU-Footnote"/>
    <w:rsid w:val="0038598D"/>
    <w:rPr>
      <w:rFonts w:asciiTheme="minorHAnsi" w:hAnsiTheme="minorHAnsi" w:cs="Calibri"/>
      <w:color w:val="625F5E"/>
      <w:sz w:val="16"/>
      <w:szCs w:val="18"/>
      <w:lang w:eastAsia="en-US"/>
    </w:rPr>
  </w:style>
  <w:style w:type="table" w:customStyle="1" w:styleId="LTU-TableofContents">
    <w:name w:val="LTU - Table of Contents"/>
    <w:basedOn w:val="TableNormal"/>
    <w:uiPriority w:val="99"/>
    <w:rsid w:val="0038598D"/>
    <w:tblPr>
      <w:tblBorders>
        <w:bottom w:val="single" w:sz="4" w:space="0" w:color="696766"/>
        <w:insideH w:val="single" w:sz="4" w:space="0" w:color="696766"/>
      </w:tblBorders>
    </w:tblPr>
    <w:tcPr>
      <w:tcMar>
        <w:top w:w="57" w:type="dxa"/>
        <w:left w:w="0" w:type="dxa"/>
        <w:bottom w:w="57" w:type="dxa"/>
        <w:right w:w="0" w:type="dxa"/>
      </w:tcMar>
    </w:tcPr>
  </w:style>
  <w:style w:type="paragraph" w:customStyle="1" w:styleId="LTU-Header-Right">
    <w:name w:val="LTU - Header - Right"/>
    <w:basedOn w:val="LTU-Header-Left"/>
    <w:qFormat/>
    <w:rsid w:val="0038598D"/>
    <w:pPr>
      <w:jc w:val="right"/>
    </w:pPr>
  </w:style>
  <w:style w:type="paragraph" w:customStyle="1" w:styleId="Hiddentext">
    <w:name w:val="Hidden text"/>
    <w:basedOn w:val="Normal"/>
    <w:uiPriority w:val="99"/>
    <w:qFormat/>
    <w:rsid w:val="0038598D"/>
    <w:pPr>
      <w:jc w:val="center"/>
    </w:pPr>
    <w:rPr>
      <w:vanish/>
      <w:color w:val="565652"/>
      <w:sz w:val="22"/>
    </w:rPr>
  </w:style>
  <w:style w:type="paragraph" w:customStyle="1" w:styleId="LTU-Cover-Contactdetails">
    <w:name w:val="LTU - Cover - Contact details"/>
    <w:basedOn w:val="Normal"/>
    <w:qFormat/>
    <w:rsid w:val="0038598D"/>
    <w:pPr>
      <w:widowControl w:val="0"/>
      <w:tabs>
        <w:tab w:val="left" w:pos="170"/>
      </w:tabs>
      <w:autoSpaceDE w:val="0"/>
      <w:autoSpaceDN w:val="0"/>
      <w:adjustRightInd w:val="0"/>
      <w:spacing w:after="0" w:line="240" w:lineRule="auto"/>
      <w:textAlignment w:val="center"/>
    </w:pPr>
    <w:rPr>
      <w:rFonts w:eastAsia="MS Mincho" w:cs="Arial"/>
      <w:color w:val="565652"/>
      <w:lang w:val="en-GB" w:eastAsia="en-AU"/>
    </w:rPr>
  </w:style>
  <w:style w:type="paragraph" w:customStyle="1" w:styleId="LTU-Bulletlistnumber0pt">
    <w:name w:val="LTU - Bullet list number 0pt"/>
    <w:basedOn w:val="LTU-Bulletlistnumber10pt"/>
    <w:qFormat/>
    <w:rsid w:val="006F1C63"/>
    <w:pPr>
      <w:numPr>
        <w:numId w:val="31"/>
      </w:numPr>
      <w:spacing w:after="0"/>
    </w:pPr>
  </w:style>
  <w:style w:type="paragraph" w:customStyle="1" w:styleId="LTU-Bulletlistnumber10pt">
    <w:name w:val="LTU - Bullet list number 10pt"/>
    <w:basedOn w:val="LTU-Bulletssub10pt"/>
    <w:next w:val="LTU-Body10pt"/>
    <w:qFormat/>
    <w:rsid w:val="006F1C63"/>
    <w:pPr>
      <w:numPr>
        <w:ilvl w:val="0"/>
        <w:numId w:val="30"/>
      </w:numPr>
      <w:spacing w:after="60"/>
    </w:pPr>
  </w:style>
  <w:style w:type="paragraph" w:customStyle="1" w:styleId="Notes">
    <w:name w:val="Notes"/>
    <w:basedOn w:val="Normal"/>
    <w:uiPriority w:val="99"/>
    <w:qFormat/>
    <w:rsid w:val="0038598D"/>
    <w:pPr>
      <w:spacing w:after="80" w:line="240" w:lineRule="auto"/>
    </w:pPr>
    <w:rPr>
      <w:color w:val="CC3399"/>
      <w:szCs w:val="20"/>
    </w:rPr>
  </w:style>
  <w:style w:type="character" w:customStyle="1" w:styleId="MediumGrid11">
    <w:name w:val="Medium Grid 11"/>
    <w:uiPriority w:val="99"/>
    <w:rsid w:val="0038598D"/>
    <w:rPr>
      <w:color w:val="808080"/>
    </w:rPr>
  </w:style>
  <w:style w:type="paragraph" w:customStyle="1" w:styleId="LTU-Cover-DateVersion">
    <w:name w:val="LTU - Cover - Date / Version"/>
    <w:basedOn w:val="Normal"/>
    <w:qFormat/>
    <w:rsid w:val="0038598D"/>
    <w:pPr>
      <w:widowControl w:val="0"/>
      <w:autoSpaceDE w:val="0"/>
      <w:autoSpaceDN w:val="0"/>
      <w:adjustRightInd w:val="0"/>
      <w:spacing w:after="0" w:line="240" w:lineRule="auto"/>
      <w:textAlignment w:val="center"/>
    </w:pPr>
    <w:rPr>
      <w:rFonts w:eastAsia="MS Mincho" w:cs="Arial"/>
      <w:color w:val="565652"/>
      <w:sz w:val="20"/>
      <w:szCs w:val="20"/>
      <w:lang w:val="en-GB" w:eastAsia="en-AU"/>
    </w:rPr>
  </w:style>
  <w:style w:type="paragraph" w:customStyle="1" w:styleId="LTU-Cover-Heading1">
    <w:name w:val="LTU - Cover - Heading 1"/>
    <w:basedOn w:val="Normal"/>
    <w:next w:val="LTU-Cover-DateVersion"/>
    <w:qFormat/>
    <w:rsid w:val="0038598D"/>
    <w:pPr>
      <w:widowControl w:val="0"/>
      <w:autoSpaceDE w:val="0"/>
      <w:autoSpaceDN w:val="0"/>
      <w:adjustRightInd w:val="0"/>
      <w:spacing w:after="0" w:line="240" w:lineRule="auto"/>
      <w:textAlignment w:val="center"/>
    </w:pPr>
    <w:rPr>
      <w:rFonts w:eastAsia="MS Mincho" w:cs="Arial"/>
      <w:b/>
      <w:bCs/>
      <w:caps/>
      <w:color w:val="EE3124" w:themeColor="accent1"/>
      <w:sz w:val="24"/>
      <w:szCs w:val="24"/>
      <w:lang w:val="en-GB" w:eastAsia="en-AU"/>
    </w:rPr>
  </w:style>
  <w:style w:type="paragraph" w:customStyle="1" w:styleId="LTU-Cover-Heading2">
    <w:name w:val="LTU - Cover - Heading 2"/>
    <w:basedOn w:val="Normal"/>
    <w:qFormat/>
    <w:rsid w:val="0038598D"/>
    <w:pPr>
      <w:widowControl w:val="0"/>
      <w:autoSpaceDE w:val="0"/>
      <w:autoSpaceDN w:val="0"/>
      <w:adjustRightInd w:val="0"/>
      <w:spacing w:after="0" w:line="240" w:lineRule="auto"/>
      <w:textAlignment w:val="center"/>
    </w:pPr>
    <w:rPr>
      <w:rFonts w:asciiTheme="majorHAnsi" w:eastAsia="MS Mincho" w:hAnsiTheme="majorHAnsi" w:cs="Georgia"/>
      <w:b/>
      <w:bCs/>
      <w:color w:val="FFFFFF"/>
      <w:sz w:val="36"/>
      <w:szCs w:val="36"/>
      <w:lang w:val="en-GB" w:eastAsia="en-AU"/>
    </w:rPr>
  </w:style>
  <w:style w:type="paragraph" w:customStyle="1" w:styleId="LTU-Cover-Heading3">
    <w:name w:val="LTU - Cover - Heading 3"/>
    <w:basedOn w:val="Normal"/>
    <w:qFormat/>
    <w:rsid w:val="0038598D"/>
    <w:pPr>
      <w:widowControl w:val="0"/>
      <w:autoSpaceDE w:val="0"/>
      <w:autoSpaceDN w:val="0"/>
      <w:adjustRightInd w:val="0"/>
      <w:spacing w:after="0" w:line="240" w:lineRule="auto"/>
      <w:textAlignment w:val="center"/>
    </w:pPr>
    <w:rPr>
      <w:rFonts w:eastAsia="MS Mincho" w:cs="Arial"/>
      <w:color w:val="FFFFFF"/>
      <w:sz w:val="26"/>
      <w:szCs w:val="26"/>
      <w:lang w:val="en-GB" w:eastAsia="en-AU"/>
    </w:rPr>
  </w:style>
  <w:style w:type="paragraph" w:customStyle="1" w:styleId="LTU-Header-DivisionSchoolResearchCentre">
    <w:name w:val="LTU - Header - Division / School / Research Centre"/>
    <w:basedOn w:val="Header"/>
    <w:qFormat/>
    <w:rsid w:val="0038598D"/>
    <w:pPr>
      <w:tabs>
        <w:tab w:val="clear" w:pos="4513"/>
        <w:tab w:val="clear" w:pos="9026"/>
      </w:tabs>
    </w:pPr>
    <w:rPr>
      <w:color w:val="696766"/>
    </w:rPr>
  </w:style>
  <w:style w:type="paragraph" w:customStyle="1" w:styleId="TOCHeading1">
    <w:name w:val="TOC Heading1"/>
    <w:basedOn w:val="LTU-Sectionheading"/>
    <w:qFormat/>
    <w:rsid w:val="0038598D"/>
    <w:rPr>
      <w:rFonts w:asciiTheme="majorHAnsi" w:hAnsiTheme="majorHAnsi"/>
      <w:b w:val="0"/>
    </w:rPr>
  </w:style>
  <w:style w:type="paragraph" w:customStyle="1" w:styleId="LTU-Disclaimer-Body">
    <w:name w:val="LTU - Disclaimer - Body"/>
    <w:basedOn w:val="Footer"/>
    <w:qFormat/>
    <w:rsid w:val="0038598D"/>
    <w:pPr>
      <w:spacing w:after="100"/>
      <w:jc w:val="both"/>
    </w:pPr>
    <w:rPr>
      <w:color w:val="565652"/>
      <w:sz w:val="15"/>
    </w:rPr>
  </w:style>
  <w:style w:type="paragraph" w:customStyle="1" w:styleId="LTU-Disclaimer-SubheadLine">
    <w:name w:val="LTU - Disclaimer - Subhead + Line"/>
    <w:basedOn w:val="Footer"/>
    <w:next w:val="LTU-Disclaimer-Body"/>
    <w:qFormat/>
    <w:rsid w:val="0038598D"/>
    <w:pPr>
      <w:pBdr>
        <w:top w:val="single" w:sz="4" w:space="5" w:color="565652"/>
      </w:pBdr>
      <w:spacing w:after="100"/>
    </w:pPr>
    <w:rPr>
      <w:b/>
      <w:color w:val="565652"/>
      <w:sz w:val="15"/>
    </w:rPr>
  </w:style>
  <w:style w:type="paragraph" w:customStyle="1" w:styleId="LTU-Cover-Year">
    <w:name w:val="LTU - Cover - Year"/>
    <w:basedOn w:val="Normal"/>
    <w:next w:val="LTU-Cover-Heading2"/>
    <w:rsid w:val="0038598D"/>
    <w:pPr>
      <w:widowControl w:val="0"/>
      <w:autoSpaceDE w:val="0"/>
      <w:autoSpaceDN w:val="0"/>
      <w:adjustRightInd w:val="0"/>
      <w:spacing w:after="0" w:line="240" w:lineRule="auto"/>
      <w:textAlignment w:val="center"/>
    </w:pPr>
    <w:rPr>
      <w:rFonts w:ascii="Calibri" w:eastAsia="MS Mincho" w:hAnsi="Calibri" w:cs="Arial"/>
      <w:color w:val="625F5E"/>
      <w:sz w:val="20"/>
      <w:szCs w:val="20"/>
      <w:lang w:val="en-GB" w:eastAsia="en-AU"/>
    </w:rPr>
  </w:style>
  <w:style w:type="character" w:styleId="Strong">
    <w:name w:val="Strong"/>
    <w:basedOn w:val="DefaultParagraphFont"/>
    <w:uiPriority w:val="22"/>
    <w:qFormat/>
    <w:locked/>
    <w:rsid w:val="0038598D"/>
    <w:rPr>
      <w:b/>
      <w:bCs/>
    </w:rPr>
  </w:style>
  <w:style w:type="paragraph" w:styleId="ListParagraph">
    <w:name w:val="List Paragraph"/>
    <w:aliases w:val="List Paragraph IEPCP 11pt,List Paragraph1,List Paragraph11,Dot Points,Recommendation,L,Bullet point,List Paragraph Number,Content descriptions,NFP GP Bulleted List,FooterText,numbered,Paragraphe de liste1,Bulletr List Paragraph,列出段落,列出段落1"/>
    <w:basedOn w:val="Normal"/>
    <w:link w:val="ListParagraphChar"/>
    <w:uiPriority w:val="34"/>
    <w:qFormat/>
    <w:rsid w:val="00E36091"/>
    <w:pPr>
      <w:spacing w:after="120" w:line="240" w:lineRule="atLeast"/>
      <w:contextualSpacing/>
    </w:pPr>
    <w:rPr>
      <w:rFonts w:ascii="Roboto" w:eastAsia="Times New Roman" w:hAnsi="Roboto" w:cs="Arial"/>
      <w:sz w:val="24"/>
      <w:lang w:val="en-US"/>
    </w:rPr>
  </w:style>
  <w:style w:type="character" w:customStyle="1" w:styleId="ListParagraphChar">
    <w:name w:val="List Paragraph Char"/>
    <w:aliases w:val="List Paragraph IEPCP 11pt Char,List Paragraph1 Char,List Paragraph11 Char,Dot Points Char,Recommendation Char,L Char,Bullet point Char,List Paragraph Number Char,Content descriptions Char,NFP GP Bulleted List Char,FooterText Char"/>
    <w:link w:val="ListParagraph"/>
    <w:uiPriority w:val="34"/>
    <w:qFormat/>
    <w:locked/>
    <w:rsid w:val="00E36091"/>
    <w:rPr>
      <w:rFonts w:ascii="Roboto" w:eastAsia="Times New Roman" w:hAnsi="Roboto" w:cs="Arial"/>
      <w:sz w:val="24"/>
      <w:szCs w:val="18"/>
      <w:lang w:val="en-US" w:eastAsia="en-US"/>
    </w:rPr>
  </w:style>
  <w:style w:type="paragraph" w:customStyle="1" w:styleId="LIstLevel2">
    <w:name w:val="LIst Level 2"/>
    <w:basedOn w:val="ListParagraph"/>
    <w:autoRedefine/>
    <w:qFormat/>
    <w:rsid w:val="0038598D"/>
    <w:rPr>
      <w:rFonts w:asciiTheme="minorHAnsi" w:hAnsiTheme="minorHAnsi"/>
    </w:rPr>
  </w:style>
  <w:style w:type="character" w:styleId="CommentReference">
    <w:name w:val="annotation reference"/>
    <w:basedOn w:val="DefaultParagraphFont"/>
    <w:uiPriority w:val="99"/>
    <w:semiHidden/>
    <w:unhideWhenUsed/>
    <w:rsid w:val="0038598D"/>
    <w:rPr>
      <w:sz w:val="16"/>
      <w:szCs w:val="16"/>
    </w:rPr>
  </w:style>
  <w:style w:type="paragraph" w:styleId="CommentText">
    <w:name w:val="annotation text"/>
    <w:basedOn w:val="Normal"/>
    <w:link w:val="CommentTextChar"/>
    <w:uiPriority w:val="99"/>
    <w:unhideWhenUsed/>
    <w:rsid w:val="0038598D"/>
    <w:pPr>
      <w:spacing w:line="240" w:lineRule="auto"/>
    </w:pPr>
    <w:rPr>
      <w:rFonts w:ascii="Calibri" w:hAnsi="Calibri"/>
      <w:sz w:val="20"/>
      <w:szCs w:val="20"/>
    </w:rPr>
  </w:style>
  <w:style w:type="character" w:customStyle="1" w:styleId="CommentTextChar">
    <w:name w:val="Comment Text Char"/>
    <w:basedOn w:val="DefaultParagraphFont"/>
    <w:link w:val="CommentText"/>
    <w:uiPriority w:val="99"/>
    <w:rsid w:val="0038598D"/>
    <w:rPr>
      <w:lang w:eastAsia="en-US"/>
    </w:rPr>
  </w:style>
  <w:style w:type="paragraph" w:styleId="CommentSubject">
    <w:name w:val="annotation subject"/>
    <w:basedOn w:val="CommentText"/>
    <w:next w:val="CommentText"/>
    <w:link w:val="CommentSubjectChar"/>
    <w:uiPriority w:val="99"/>
    <w:semiHidden/>
    <w:unhideWhenUsed/>
    <w:rsid w:val="0038598D"/>
    <w:rPr>
      <w:b/>
      <w:bCs/>
    </w:rPr>
  </w:style>
  <w:style w:type="character" w:customStyle="1" w:styleId="CommentSubjectChar">
    <w:name w:val="Comment Subject Char"/>
    <w:basedOn w:val="CommentTextChar"/>
    <w:link w:val="CommentSubject"/>
    <w:uiPriority w:val="99"/>
    <w:semiHidden/>
    <w:rsid w:val="0038598D"/>
    <w:rPr>
      <w:b/>
      <w:bCs/>
      <w:lang w:eastAsia="en-US"/>
    </w:rPr>
  </w:style>
  <w:style w:type="character" w:customStyle="1" w:styleId="UnresolvedMention1">
    <w:name w:val="Unresolved Mention1"/>
    <w:basedOn w:val="DefaultParagraphFont"/>
    <w:uiPriority w:val="99"/>
    <w:semiHidden/>
    <w:unhideWhenUsed/>
    <w:rsid w:val="0038598D"/>
    <w:rPr>
      <w:color w:val="605E5C"/>
      <w:shd w:val="clear" w:color="auto" w:fill="E1DFDD"/>
    </w:rPr>
  </w:style>
  <w:style w:type="paragraph" w:styleId="TableofFigures">
    <w:name w:val="table of figures"/>
    <w:basedOn w:val="Normal"/>
    <w:next w:val="Normal"/>
    <w:uiPriority w:val="99"/>
    <w:unhideWhenUsed/>
    <w:rsid w:val="0038598D"/>
    <w:pPr>
      <w:spacing w:after="0"/>
    </w:pPr>
    <w:rPr>
      <w:sz w:val="20"/>
    </w:rPr>
  </w:style>
  <w:style w:type="table" w:styleId="ListTable3-Accent1">
    <w:name w:val="List Table 3 Accent 1"/>
    <w:basedOn w:val="TableNormal"/>
    <w:uiPriority w:val="48"/>
    <w:rsid w:val="0038598D"/>
    <w:tblPr>
      <w:tblStyleRowBandSize w:val="1"/>
      <w:tblStyleColBandSize w:val="1"/>
      <w:tblBorders>
        <w:top w:val="single" w:sz="4" w:space="0" w:color="EE3124" w:themeColor="accent1"/>
        <w:left w:val="single" w:sz="4" w:space="0" w:color="EE3124" w:themeColor="accent1"/>
        <w:bottom w:val="single" w:sz="4" w:space="0" w:color="EE3124" w:themeColor="accent1"/>
        <w:right w:val="single" w:sz="4" w:space="0" w:color="EE3124" w:themeColor="accent1"/>
      </w:tblBorders>
    </w:tblPr>
    <w:tblStylePr w:type="firstRow">
      <w:rPr>
        <w:b/>
        <w:bCs/>
        <w:color w:val="FFFFFF" w:themeColor="background1"/>
      </w:rPr>
      <w:tblPr/>
      <w:tcPr>
        <w:shd w:val="clear" w:color="auto" w:fill="EE3124" w:themeFill="accent1"/>
      </w:tcPr>
    </w:tblStylePr>
    <w:tblStylePr w:type="lastRow">
      <w:rPr>
        <w:b/>
        <w:bCs/>
      </w:rPr>
      <w:tblPr/>
      <w:tcPr>
        <w:tcBorders>
          <w:top w:val="double" w:sz="4" w:space="0" w:color="EE312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3124" w:themeColor="accent1"/>
          <w:right w:val="single" w:sz="4" w:space="0" w:color="EE3124" w:themeColor="accent1"/>
        </w:tcBorders>
      </w:tcPr>
    </w:tblStylePr>
    <w:tblStylePr w:type="band1Horz">
      <w:tblPr/>
      <w:tcPr>
        <w:tcBorders>
          <w:top w:val="single" w:sz="4" w:space="0" w:color="EE3124" w:themeColor="accent1"/>
          <w:bottom w:val="single" w:sz="4" w:space="0" w:color="EE312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3124" w:themeColor="accent1"/>
          <w:left w:val="nil"/>
        </w:tcBorders>
      </w:tcPr>
    </w:tblStylePr>
    <w:tblStylePr w:type="swCell">
      <w:tblPr/>
      <w:tcPr>
        <w:tcBorders>
          <w:top w:val="double" w:sz="4" w:space="0" w:color="EE3124" w:themeColor="accent1"/>
          <w:right w:val="nil"/>
        </w:tcBorders>
      </w:tcPr>
    </w:tblStylePr>
  </w:style>
  <w:style w:type="paragraph" w:styleId="Caption">
    <w:name w:val="caption"/>
    <w:aliases w:val="LTU- Caption"/>
    <w:basedOn w:val="Normal"/>
    <w:next w:val="Normal"/>
    <w:uiPriority w:val="35"/>
    <w:unhideWhenUsed/>
    <w:qFormat/>
    <w:rsid w:val="0038598D"/>
    <w:pPr>
      <w:spacing w:before="120" w:line="240" w:lineRule="auto"/>
    </w:pPr>
    <w:rPr>
      <w:i/>
      <w:iCs/>
      <w:color w:val="000000" w:themeColor="text2"/>
      <w:sz w:val="22"/>
    </w:rPr>
  </w:style>
  <w:style w:type="paragraph" w:styleId="TOCHeading">
    <w:name w:val="TOC Heading"/>
    <w:basedOn w:val="Heading1"/>
    <w:next w:val="Normal"/>
    <w:uiPriority w:val="39"/>
    <w:unhideWhenUsed/>
    <w:qFormat/>
    <w:locked/>
    <w:rsid w:val="0038598D"/>
    <w:pPr>
      <w:keepNext/>
      <w:keepLines/>
      <w:spacing w:before="240" w:after="0" w:line="259" w:lineRule="auto"/>
      <w:outlineLvl w:val="9"/>
    </w:pPr>
    <w:rPr>
      <w:rFonts w:asciiTheme="majorHAnsi" w:eastAsiaTheme="majorEastAsia" w:hAnsiTheme="majorHAnsi" w:cs="Times New Roman (Headings CS)"/>
      <w:b w:val="0"/>
      <w:caps/>
      <w:color w:val="FF0000"/>
      <w:spacing w:val="0"/>
      <w:sz w:val="28"/>
      <w:szCs w:val="32"/>
      <w:lang w:val="en-US" w:eastAsia="en-AU" w:bidi="ar-SA"/>
    </w:rPr>
  </w:style>
  <w:style w:type="paragraph" w:customStyle="1" w:styleId="xmsonormal">
    <w:name w:val="x_msonormal"/>
    <w:basedOn w:val="Normal"/>
    <w:rsid w:val="0038598D"/>
    <w:pPr>
      <w:spacing w:after="0" w:line="240" w:lineRule="auto"/>
    </w:pPr>
    <w:rPr>
      <w:rFonts w:ascii="Calibri" w:eastAsiaTheme="minorHAnsi" w:hAnsi="Calibri" w:cs="Calibri"/>
      <w:sz w:val="22"/>
      <w:szCs w:val="22"/>
      <w:lang w:eastAsia="en-AU"/>
    </w:rPr>
  </w:style>
  <w:style w:type="paragraph" w:customStyle="1" w:styleId="xmsolistparagraph">
    <w:name w:val="x_msolistparagraph"/>
    <w:basedOn w:val="Normal"/>
    <w:rsid w:val="0038598D"/>
    <w:pPr>
      <w:spacing w:after="160" w:line="252" w:lineRule="auto"/>
      <w:ind w:left="720"/>
    </w:pPr>
    <w:rPr>
      <w:rFonts w:ascii="Calibri" w:eastAsiaTheme="minorHAnsi" w:hAnsi="Calibri" w:cs="Calibri"/>
      <w:sz w:val="22"/>
      <w:szCs w:val="22"/>
      <w:lang w:eastAsia="en-AU"/>
    </w:rPr>
  </w:style>
  <w:style w:type="character" w:customStyle="1" w:styleId="UnresolvedMention2">
    <w:name w:val="Unresolved Mention2"/>
    <w:basedOn w:val="DefaultParagraphFont"/>
    <w:uiPriority w:val="99"/>
    <w:semiHidden/>
    <w:unhideWhenUsed/>
    <w:rsid w:val="0038598D"/>
    <w:rPr>
      <w:color w:val="605E5C"/>
      <w:shd w:val="clear" w:color="auto" w:fill="E1DFDD"/>
    </w:rPr>
  </w:style>
  <w:style w:type="paragraph" w:styleId="Quote">
    <w:name w:val="Quote"/>
    <w:aliases w:val="LTU - Quote"/>
    <w:basedOn w:val="Normal"/>
    <w:next w:val="Normal"/>
    <w:link w:val="QuoteChar"/>
    <w:autoRedefine/>
    <w:uiPriority w:val="29"/>
    <w:qFormat/>
    <w:locked/>
    <w:rsid w:val="0038598D"/>
    <w:pPr>
      <w:spacing w:before="200" w:after="160" w:line="360" w:lineRule="auto"/>
      <w:ind w:left="720" w:right="864"/>
      <w:jc w:val="both"/>
    </w:pPr>
    <w:rPr>
      <w:i/>
      <w:iCs/>
      <w:sz w:val="24"/>
    </w:rPr>
  </w:style>
  <w:style w:type="character" w:customStyle="1" w:styleId="QuoteChar">
    <w:name w:val="Quote Char"/>
    <w:aliases w:val="LTU - Quote Char"/>
    <w:basedOn w:val="DefaultParagraphFont"/>
    <w:link w:val="Quote"/>
    <w:uiPriority w:val="29"/>
    <w:rsid w:val="0038598D"/>
    <w:rPr>
      <w:rFonts w:asciiTheme="minorHAnsi" w:hAnsiTheme="minorHAnsi"/>
      <w:i/>
      <w:iCs/>
      <w:sz w:val="24"/>
      <w:szCs w:val="18"/>
      <w:lang w:eastAsia="en-US"/>
    </w:rPr>
  </w:style>
  <w:style w:type="paragraph" w:customStyle="1" w:styleId="EndNoteBibliographyTitle">
    <w:name w:val="EndNote Bibliography Title"/>
    <w:basedOn w:val="Normal"/>
    <w:link w:val="EndNoteBibliographyTitleChar"/>
    <w:rsid w:val="0038598D"/>
    <w:pPr>
      <w:spacing w:after="0"/>
      <w:jc w:val="center"/>
    </w:pPr>
    <w:rPr>
      <w:rFonts w:ascii="Calibri" w:hAnsi="Calibri" w:cs="Calibri"/>
      <w:noProof/>
      <w:sz w:val="24"/>
      <w:lang w:val="en-US"/>
    </w:rPr>
  </w:style>
  <w:style w:type="character" w:customStyle="1" w:styleId="EndNoteBibliographyTitleChar">
    <w:name w:val="EndNote Bibliography Title Char"/>
    <w:basedOn w:val="HeaderChar"/>
    <w:link w:val="EndNoteBibliographyTitle"/>
    <w:rsid w:val="0038598D"/>
    <w:rPr>
      <w:rFonts w:asciiTheme="minorHAnsi" w:hAnsiTheme="minorHAnsi" w:cs="Calibri"/>
      <w:noProof/>
      <w:sz w:val="24"/>
      <w:szCs w:val="18"/>
      <w:lang w:val="en-US" w:eastAsia="en-US"/>
    </w:rPr>
  </w:style>
  <w:style w:type="paragraph" w:customStyle="1" w:styleId="EndNoteBibliography">
    <w:name w:val="EndNote Bibliography"/>
    <w:basedOn w:val="Normal"/>
    <w:link w:val="EndNoteBibliographyChar"/>
    <w:rsid w:val="0038598D"/>
    <w:pPr>
      <w:spacing w:line="240" w:lineRule="auto"/>
    </w:pPr>
    <w:rPr>
      <w:rFonts w:cs="Calibri"/>
      <w:noProof/>
      <w:sz w:val="24"/>
      <w:lang w:val="en-US"/>
    </w:rPr>
  </w:style>
  <w:style w:type="character" w:customStyle="1" w:styleId="EndNoteBibliographyChar">
    <w:name w:val="EndNote Bibliography Char"/>
    <w:basedOn w:val="HeaderChar"/>
    <w:link w:val="EndNoteBibliography"/>
    <w:rsid w:val="0038598D"/>
    <w:rPr>
      <w:rFonts w:asciiTheme="minorHAnsi" w:hAnsiTheme="minorHAnsi" w:cs="Calibri"/>
      <w:noProof/>
      <w:sz w:val="24"/>
      <w:szCs w:val="18"/>
      <w:lang w:val="en-US" w:eastAsia="en-US"/>
    </w:rPr>
  </w:style>
  <w:style w:type="paragraph" w:styleId="Title">
    <w:name w:val="Title"/>
    <w:basedOn w:val="Normal"/>
    <w:next w:val="Normal"/>
    <w:link w:val="TitleChar"/>
    <w:uiPriority w:val="10"/>
    <w:qFormat/>
    <w:locked/>
    <w:rsid w:val="0038598D"/>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38598D"/>
    <w:rPr>
      <w:rFonts w:asciiTheme="majorHAnsi" w:eastAsiaTheme="majorEastAsia" w:hAnsiTheme="majorHAnsi" w:cstheme="majorBidi"/>
      <w:caps/>
      <w:spacing w:val="40"/>
      <w:sz w:val="76"/>
      <w:szCs w:val="76"/>
      <w:lang w:eastAsia="en-US"/>
    </w:rPr>
  </w:style>
  <w:style w:type="paragraph" w:styleId="Subtitle">
    <w:name w:val="Subtitle"/>
    <w:basedOn w:val="Normal"/>
    <w:next w:val="Normal"/>
    <w:link w:val="SubtitleChar"/>
    <w:uiPriority w:val="11"/>
    <w:qFormat/>
    <w:locked/>
    <w:rsid w:val="0038598D"/>
    <w:pPr>
      <w:numPr>
        <w:ilvl w:val="1"/>
      </w:numPr>
      <w:spacing w:after="240" w:line="312" w:lineRule="auto"/>
    </w:pPr>
    <w:rPr>
      <w:rFonts w:eastAsiaTheme="minorEastAsia" w:cstheme="minorBidi"/>
      <w:color w:val="000000" w:themeColor="text1"/>
      <w:sz w:val="24"/>
      <w:szCs w:val="24"/>
    </w:rPr>
  </w:style>
  <w:style w:type="character" w:customStyle="1" w:styleId="SubtitleChar">
    <w:name w:val="Subtitle Char"/>
    <w:basedOn w:val="DefaultParagraphFont"/>
    <w:link w:val="Subtitle"/>
    <w:uiPriority w:val="11"/>
    <w:rsid w:val="0038598D"/>
    <w:rPr>
      <w:rFonts w:asciiTheme="minorHAnsi" w:eastAsiaTheme="minorEastAsia" w:hAnsiTheme="minorHAnsi" w:cstheme="minorBidi"/>
      <w:color w:val="000000" w:themeColor="text1"/>
      <w:sz w:val="24"/>
      <w:szCs w:val="24"/>
      <w:lang w:eastAsia="en-US"/>
    </w:rPr>
  </w:style>
  <w:style w:type="character" w:styleId="Emphasis">
    <w:name w:val="Emphasis"/>
    <w:basedOn w:val="DefaultParagraphFont"/>
    <w:uiPriority w:val="20"/>
    <w:qFormat/>
    <w:locked/>
    <w:rsid w:val="0038598D"/>
    <w:rPr>
      <w:rFonts w:asciiTheme="minorHAnsi" w:eastAsiaTheme="minorEastAsia" w:hAnsiTheme="minorHAnsi" w:cstheme="minorBidi"/>
      <w:i/>
      <w:iCs/>
      <w:color w:val="BE190E" w:themeColor="accent2" w:themeShade="BF"/>
      <w:sz w:val="20"/>
      <w:szCs w:val="20"/>
    </w:rPr>
  </w:style>
  <w:style w:type="paragraph" w:styleId="NoSpacing">
    <w:name w:val="No Spacing"/>
    <w:link w:val="NoSpacingChar"/>
    <w:uiPriority w:val="1"/>
    <w:qFormat/>
    <w:rsid w:val="0038598D"/>
    <w:rPr>
      <w:rFonts w:asciiTheme="minorHAnsi" w:eastAsiaTheme="minorEastAsia" w:hAnsiTheme="minorHAnsi" w:cstheme="minorBidi"/>
      <w:sz w:val="21"/>
      <w:szCs w:val="21"/>
      <w:lang w:eastAsia="en-US"/>
    </w:rPr>
  </w:style>
  <w:style w:type="paragraph" w:styleId="IntenseQuote">
    <w:name w:val="Intense Quote"/>
    <w:basedOn w:val="Normal"/>
    <w:next w:val="Normal"/>
    <w:link w:val="IntenseQuoteChar"/>
    <w:uiPriority w:val="30"/>
    <w:qFormat/>
    <w:locked/>
    <w:rsid w:val="0038598D"/>
    <w:pPr>
      <w:spacing w:before="100" w:beforeAutospacing="1" w:after="240" w:line="312" w:lineRule="auto"/>
      <w:ind w:left="936" w:right="936"/>
      <w:jc w:val="center"/>
    </w:pPr>
    <w:rPr>
      <w:rFonts w:asciiTheme="majorHAnsi" w:eastAsiaTheme="majorEastAsia" w:hAnsiTheme="majorHAnsi" w:cstheme="majorBidi"/>
      <w:caps/>
      <w:color w:val="BE190E" w:themeColor="accent2" w:themeShade="BF"/>
      <w:spacing w:val="10"/>
      <w:sz w:val="28"/>
      <w:szCs w:val="28"/>
    </w:rPr>
  </w:style>
  <w:style w:type="character" w:customStyle="1" w:styleId="IntenseQuoteChar">
    <w:name w:val="Intense Quote Char"/>
    <w:basedOn w:val="DefaultParagraphFont"/>
    <w:link w:val="IntenseQuote"/>
    <w:uiPriority w:val="30"/>
    <w:rsid w:val="0038598D"/>
    <w:rPr>
      <w:rFonts w:asciiTheme="majorHAnsi" w:eastAsiaTheme="majorEastAsia" w:hAnsiTheme="majorHAnsi" w:cstheme="majorBidi"/>
      <w:caps/>
      <w:color w:val="BE190E" w:themeColor="accent2" w:themeShade="BF"/>
      <w:spacing w:val="10"/>
      <w:sz w:val="28"/>
      <w:szCs w:val="28"/>
      <w:lang w:eastAsia="en-US"/>
    </w:rPr>
  </w:style>
  <w:style w:type="character" w:styleId="SubtleEmphasis">
    <w:name w:val="Subtle Emphasis"/>
    <w:basedOn w:val="DefaultParagraphFont"/>
    <w:uiPriority w:val="19"/>
    <w:qFormat/>
    <w:locked/>
    <w:rsid w:val="0038598D"/>
    <w:rPr>
      <w:i/>
      <w:iCs/>
      <w:color w:val="auto"/>
    </w:rPr>
  </w:style>
  <w:style w:type="character" w:styleId="IntenseEmphasis">
    <w:name w:val="Intense Emphasis"/>
    <w:basedOn w:val="DefaultParagraphFont"/>
    <w:uiPriority w:val="21"/>
    <w:qFormat/>
    <w:locked/>
    <w:rsid w:val="0038598D"/>
    <w:rPr>
      <w:rFonts w:asciiTheme="minorHAnsi" w:eastAsiaTheme="minorEastAsia" w:hAnsiTheme="minorHAnsi" w:cstheme="minorBidi"/>
      <w:b/>
      <w:bCs/>
      <w:i/>
      <w:iCs/>
      <w:color w:val="BE190E" w:themeColor="accent2" w:themeShade="BF"/>
      <w:spacing w:val="0"/>
      <w:w w:val="100"/>
      <w:position w:val="0"/>
      <w:sz w:val="20"/>
      <w:szCs w:val="20"/>
    </w:rPr>
  </w:style>
  <w:style w:type="character" w:styleId="SubtleReference">
    <w:name w:val="Subtle Reference"/>
    <w:basedOn w:val="DefaultParagraphFont"/>
    <w:uiPriority w:val="31"/>
    <w:qFormat/>
    <w:locked/>
    <w:rsid w:val="0038598D"/>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locked/>
    <w:rsid w:val="0038598D"/>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69"/>
    <w:qFormat/>
    <w:locked/>
    <w:rsid w:val="0038598D"/>
    <w:rPr>
      <w:rFonts w:asciiTheme="minorHAnsi" w:eastAsiaTheme="minorEastAsia" w:hAnsiTheme="minorHAnsi" w:cstheme="minorBidi"/>
      <w:b/>
      <w:bCs/>
      <w:i/>
      <w:iCs/>
      <w:caps w:val="0"/>
      <w:smallCaps w:val="0"/>
      <w:color w:val="auto"/>
      <w:spacing w:val="10"/>
      <w:w w:val="100"/>
      <w:sz w:val="20"/>
      <w:szCs w:val="20"/>
    </w:rPr>
  </w:style>
  <w:style w:type="character" w:styleId="FollowedHyperlink">
    <w:name w:val="FollowedHyperlink"/>
    <w:basedOn w:val="DefaultParagraphFont"/>
    <w:uiPriority w:val="99"/>
    <w:semiHidden/>
    <w:unhideWhenUsed/>
    <w:rsid w:val="0038598D"/>
    <w:rPr>
      <w:color w:val="EE3124" w:themeColor="followedHyperlink"/>
      <w:u w:val="single"/>
    </w:rPr>
  </w:style>
  <w:style w:type="paragraph" w:styleId="NormalWeb">
    <w:name w:val="Normal (Web)"/>
    <w:basedOn w:val="Normal"/>
    <w:uiPriority w:val="99"/>
    <w:unhideWhenUsed/>
    <w:rsid w:val="0038598D"/>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DSSBody">
    <w:name w:val="DSS Body"/>
    <w:basedOn w:val="Normal"/>
    <w:qFormat/>
    <w:rsid w:val="0038598D"/>
    <w:pPr>
      <w:suppressAutoHyphens/>
      <w:autoSpaceDE w:val="0"/>
      <w:autoSpaceDN w:val="0"/>
      <w:adjustRightInd w:val="0"/>
      <w:spacing w:before="113" w:after="0" w:line="288" w:lineRule="auto"/>
    </w:pPr>
    <w:rPr>
      <w:rFonts w:ascii="Calibri" w:eastAsiaTheme="minorHAnsi" w:hAnsi="Calibri" w:cs="Segoe UI Historic"/>
      <w:color w:val="000000"/>
      <w:sz w:val="24"/>
      <w:szCs w:val="20"/>
      <w:lang w:val="en-GB"/>
    </w:rPr>
  </w:style>
  <w:style w:type="character" w:customStyle="1" w:styleId="Mention1">
    <w:name w:val="Mention1"/>
    <w:basedOn w:val="DefaultParagraphFont"/>
    <w:uiPriority w:val="99"/>
    <w:unhideWhenUsed/>
    <w:rsid w:val="0038598D"/>
    <w:rPr>
      <w:color w:val="2B579A"/>
      <w:shd w:val="clear" w:color="auto" w:fill="E6E6E6"/>
    </w:rPr>
  </w:style>
  <w:style w:type="character" w:customStyle="1" w:styleId="UnresolvedMention3">
    <w:name w:val="Unresolved Mention3"/>
    <w:basedOn w:val="DefaultParagraphFont"/>
    <w:uiPriority w:val="99"/>
    <w:unhideWhenUsed/>
    <w:rsid w:val="009264A5"/>
    <w:rPr>
      <w:color w:val="605E5C"/>
      <w:shd w:val="clear" w:color="auto" w:fill="E1DFDD"/>
    </w:rPr>
  </w:style>
  <w:style w:type="character" w:customStyle="1" w:styleId="Mention2">
    <w:name w:val="Mention2"/>
    <w:basedOn w:val="DefaultParagraphFont"/>
    <w:uiPriority w:val="99"/>
    <w:unhideWhenUsed/>
    <w:rsid w:val="009264A5"/>
    <w:rPr>
      <w:color w:val="2B579A"/>
      <w:shd w:val="clear" w:color="auto" w:fill="E6E6E6"/>
    </w:rPr>
  </w:style>
  <w:style w:type="paragraph" w:customStyle="1" w:styleId="Tabletitle">
    <w:name w:val="Table title"/>
    <w:basedOn w:val="LTU-Subhead3"/>
    <w:qFormat/>
    <w:rsid w:val="0038598D"/>
    <w:rPr>
      <w:rFonts w:asciiTheme="majorHAnsi" w:hAnsiTheme="majorHAnsi"/>
      <w:b w:val="0"/>
      <w:color w:val="696766"/>
    </w:rPr>
  </w:style>
  <w:style w:type="paragraph" w:customStyle="1" w:styleId="LTU-Tabletitle">
    <w:name w:val="LTU - Table title"/>
    <w:basedOn w:val="LTU-Subhead3"/>
    <w:qFormat/>
    <w:rsid w:val="0038598D"/>
    <w:pPr>
      <w:spacing w:before="240" w:line="240" w:lineRule="auto"/>
    </w:pPr>
    <w:rPr>
      <w:b w:val="0"/>
    </w:rPr>
  </w:style>
  <w:style w:type="paragraph" w:customStyle="1" w:styleId="LTU-Figuretitle">
    <w:name w:val="LTU - Figure title"/>
    <w:basedOn w:val="Caption"/>
    <w:qFormat/>
    <w:rsid w:val="0038598D"/>
    <w:rPr>
      <w:sz w:val="24"/>
    </w:rPr>
  </w:style>
  <w:style w:type="paragraph" w:customStyle="1" w:styleId="LTU-Subhead4">
    <w:name w:val="LTU - Subhead 4"/>
    <w:basedOn w:val="Heading5"/>
    <w:qFormat/>
    <w:rsid w:val="0038598D"/>
    <w:rPr>
      <w:b w:val="0"/>
      <w:i/>
      <w:szCs w:val="24"/>
    </w:rPr>
  </w:style>
  <w:style w:type="paragraph" w:styleId="Revision">
    <w:name w:val="Revision"/>
    <w:hidden/>
    <w:uiPriority w:val="71"/>
    <w:semiHidden/>
    <w:locked/>
    <w:rsid w:val="00637F9C"/>
    <w:rPr>
      <w:rFonts w:asciiTheme="minorHAnsi" w:hAnsiTheme="minorHAnsi"/>
      <w:sz w:val="18"/>
      <w:szCs w:val="18"/>
      <w:lang w:eastAsia="en-US"/>
    </w:rPr>
  </w:style>
  <w:style w:type="paragraph" w:customStyle="1" w:styleId="LTU-Bullets85ptafter">
    <w:name w:val="LTU - Bullets 8.5pt after"/>
    <w:basedOn w:val="Normal"/>
    <w:next w:val="Normal"/>
    <w:qFormat/>
    <w:rsid w:val="10AE549A"/>
    <w:pPr>
      <w:spacing w:after="160"/>
      <w:ind w:left="360" w:hanging="360"/>
      <w:contextualSpacing/>
    </w:pPr>
    <w:rPr>
      <w:rFonts w:eastAsia="Times New Roman" w:cs="Arial"/>
      <w:color w:val="000000" w:themeColor="text2"/>
      <w:sz w:val="22"/>
      <w:szCs w:val="22"/>
      <w:lang w:eastAsia="en-AU" w:bidi="en-US"/>
    </w:rPr>
  </w:style>
  <w:style w:type="paragraph" w:customStyle="1" w:styleId="LTU-Bullets0ptafter">
    <w:name w:val="LTU - Bullets 0pt after"/>
    <w:basedOn w:val="LTU-Bullets85ptafter"/>
    <w:autoRedefine/>
    <w:qFormat/>
    <w:rsid w:val="001F103E"/>
    <w:pPr>
      <w:framePr w:hSpace="180" w:wrap="around" w:vAnchor="text" w:hAnchor="margin" w:y="-322"/>
      <w:ind w:left="0" w:firstLine="0"/>
    </w:pPr>
    <w:rPr>
      <w:sz w:val="24"/>
    </w:rPr>
  </w:style>
  <w:style w:type="character" w:customStyle="1" w:styleId="LightGrid-Accent11">
    <w:name w:val="Light Grid - Accent 11"/>
    <w:uiPriority w:val="99"/>
    <w:rsid w:val="00440604"/>
    <w:rPr>
      <w:rFonts w:asciiTheme="minorHAnsi" w:hAnsiTheme="minorHAnsi"/>
      <w:color w:val="808080"/>
    </w:rPr>
  </w:style>
  <w:style w:type="paragraph" w:customStyle="1" w:styleId="LTU-Body">
    <w:name w:val="LTU - Body"/>
    <w:basedOn w:val="LTU-Body10pt"/>
    <w:qFormat/>
    <w:rsid w:val="00702730"/>
    <w:pPr>
      <w:widowControl w:val="0"/>
      <w:suppressAutoHyphens/>
      <w:autoSpaceDE w:val="0"/>
      <w:autoSpaceDN w:val="0"/>
      <w:adjustRightInd w:val="0"/>
      <w:spacing w:after="170" w:line="240" w:lineRule="auto"/>
      <w:textAlignment w:val="center"/>
    </w:pPr>
    <w:rPr>
      <w:rFonts w:eastAsia="MS Mincho" w:cs="Calibri"/>
      <w:color w:val="000000"/>
      <w:sz w:val="20"/>
      <w:szCs w:val="20"/>
      <w:lang w:val="en-GB" w:eastAsia="en-AU"/>
    </w:rPr>
  </w:style>
  <w:style w:type="character" w:customStyle="1" w:styleId="normaltextrun">
    <w:name w:val="normaltextrun"/>
    <w:basedOn w:val="DefaultParagraphFont"/>
    <w:rsid w:val="00190936"/>
  </w:style>
  <w:style w:type="table" w:styleId="PlainTable3">
    <w:name w:val="Plain Table 3"/>
    <w:uiPriority w:val="99"/>
    <w:qFormat/>
    <w:locked/>
    <w:rsid w:val="00B06920"/>
    <w:tblPr>
      <w:tblStyleRowBandSize w:val="1"/>
      <w:tblStyleColBandSize w:val="1"/>
      <w:tblCellMar>
        <w:top w:w="0" w:type="dxa"/>
        <w:left w:w="0" w:type="dxa"/>
        <w:bottom w:w="0" w:type="dxa"/>
        <w:right w:w="0"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basedOn w:val="DefaultParagraphFont"/>
    <w:uiPriority w:val="99"/>
    <w:semiHidden/>
    <w:rsid w:val="00101D6A"/>
    <w:rPr>
      <w:color w:val="808080"/>
    </w:rPr>
  </w:style>
  <w:style w:type="character" w:customStyle="1" w:styleId="NoSpacingChar">
    <w:name w:val="No Spacing Char"/>
    <w:basedOn w:val="DefaultParagraphFont"/>
    <w:link w:val="NoSpacing"/>
    <w:uiPriority w:val="1"/>
    <w:rsid w:val="0038598D"/>
    <w:rPr>
      <w:rFonts w:asciiTheme="minorHAnsi" w:eastAsiaTheme="minorEastAsia" w:hAnsiTheme="minorHAnsi" w:cstheme="minorBidi"/>
      <w:sz w:val="21"/>
      <w:szCs w:val="21"/>
      <w:lang w:eastAsia="en-US"/>
    </w:rPr>
  </w:style>
  <w:style w:type="character" w:customStyle="1" w:styleId="Mention">
    <w:name w:val="Mention"/>
    <w:basedOn w:val="DefaultParagraphFont"/>
    <w:uiPriority w:val="99"/>
    <w:unhideWhenUsed/>
    <w:rsid w:val="0038598D"/>
    <w:rPr>
      <w:color w:val="2B579A"/>
      <w:shd w:val="clear" w:color="auto" w:fill="E6E6E6"/>
    </w:rPr>
  </w:style>
  <w:style w:type="table" w:styleId="PlainTable2">
    <w:name w:val="Plain Table 2"/>
    <w:basedOn w:val="TableNormal"/>
    <w:uiPriority w:val="42"/>
    <w:locked/>
    <w:rsid w:val="0038598D"/>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
    <w:name w:val="Unresolved Mention"/>
    <w:basedOn w:val="DefaultParagraphFont"/>
    <w:uiPriority w:val="99"/>
    <w:unhideWhenUsed/>
    <w:rsid w:val="0038598D"/>
    <w:rPr>
      <w:color w:val="605E5C"/>
      <w:shd w:val="clear" w:color="auto" w:fill="E1DFDD"/>
    </w:rPr>
  </w:style>
  <w:style w:type="paragraph" w:styleId="ListBullet">
    <w:name w:val="List Bullet"/>
    <w:basedOn w:val="Normal"/>
    <w:uiPriority w:val="99"/>
    <w:unhideWhenUsed/>
    <w:rsid w:val="00BB3F3C"/>
    <w:pPr>
      <w:numPr>
        <w:numId w:val="33"/>
      </w:numPr>
      <w:contextualSpacing/>
    </w:pPr>
  </w:style>
  <w:style w:type="paragraph" w:customStyle="1" w:styleId="Pullouts">
    <w:name w:val="Pullouts"/>
    <w:basedOn w:val="LTU-Body10pt"/>
    <w:qFormat/>
    <w:rsid w:val="00292F96"/>
    <w:pPr>
      <w:pBdr>
        <w:top w:val="single" w:sz="24" w:space="8" w:color="auto"/>
        <w:bottom w:val="single" w:sz="24" w:space="8" w:color="auto"/>
      </w:pBdr>
      <w:spacing w:line="240" w:lineRule="auto"/>
    </w:pPr>
    <w:rPr>
      <w:rFonts w:ascii="Roboto" w:hAnsi="Roboto"/>
      <w:i/>
      <w:sz w:val="26"/>
    </w:rPr>
  </w:style>
  <w:style w:type="numbering" w:customStyle="1" w:styleId="CurrentList1">
    <w:name w:val="Current List1"/>
    <w:uiPriority w:val="99"/>
    <w:rsid w:val="00B342D0"/>
    <w:pPr>
      <w:numPr>
        <w:numId w:val="45"/>
      </w:numPr>
    </w:pPr>
  </w:style>
  <w:style w:type="numbering" w:customStyle="1" w:styleId="CurrentList2">
    <w:name w:val="Current List2"/>
    <w:uiPriority w:val="99"/>
    <w:rsid w:val="00B342D0"/>
    <w:pPr>
      <w:numPr>
        <w:numId w:val="47"/>
      </w:numPr>
    </w:pPr>
  </w:style>
  <w:style w:type="numbering" w:customStyle="1" w:styleId="CurrentList3">
    <w:name w:val="Current List3"/>
    <w:uiPriority w:val="99"/>
    <w:rsid w:val="006F1C63"/>
    <w:pPr>
      <w:numPr>
        <w:numId w:val="48"/>
      </w:numPr>
    </w:pPr>
  </w:style>
  <w:style w:type="numbering" w:customStyle="1" w:styleId="CurrentList4">
    <w:name w:val="Current List4"/>
    <w:uiPriority w:val="99"/>
    <w:rsid w:val="006F1C63"/>
    <w:pPr>
      <w:numPr>
        <w:numId w:val="4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59466">
      <w:bodyDiv w:val="1"/>
      <w:marLeft w:val="0"/>
      <w:marRight w:val="0"/>
      <w:marTop w:val="0"/>
      <w:marBottom w:val="0"/>
      <w:divBdr>
        <w:top w:val="none" w:sz="0" w:space="0" w:color="auto"/>
        <w:left w:val="none" w:sz="0" w:space="0" w:color="auto"/>
        <w:bottom w:val="none" w:sz="0" w:space="0" w:color="auto"/>
        <w:right w:val="none" w:sz="0" w:space="0" w:color="auto"/>
      </w:divBdr>
      <w:divsChild>
        <w:div w:id="904028220">
          <w:marLeft w:val="547"/>
          <w:marRight w:val="0"/>
          <w:marTop w:val="0"/>
          <w:marBottom w:val="0"/>
          <w:divBdr>
            <w:top w:val="none" w:sz="0" w:space="0" w:color="auto"/>
            <w:left w:val="none" w:sz="0" w:space="0" w:color="auto"/>
            <w:bottom w:val="none" w:sz="0" w:space="0" w:color="auto"/>
            <w:right w:val="none" w:sz="0" w:space="0" w:color="auto"/>
          </w:divBdr>
        </w:div>
      </w:divsChild>
    </w:div>
    <w:div w:id="102770168">
      <w:bodyDiv w:val="1"/>
      <w:marLeft w:val="0"/>
      <w:marRight w:val="0"/>
      <w:marTop w:val="0"/>
      <w:marBottom w:val="0"/>
      <w:divBdr>
        <w:top w:val="none" w:sz="0" w:space="0" w:color="auto"/>
        <w:left w:val="none" w:sz="0" w:space="0" w:color="auto"/>
        <w:bottom w:val="none" w:sz="0" w:space="0" w:color="auto"/>
        <w:right w:val="none" w:sz="0" w:space="0" w:color="auto"/>
      </w:divBdr>
      <w:divsChild>
        <w:div w:id="240212732">
          <w:marLeft w:val="547"/>
          <w:marRight w:val="0"/>
          <w:marTop w:val="0"/>
          <w:marBottom w:val="0"/>
          <w:divBdr>
            <w:top w:val="none" w:sz="0" w:space="0" w:color="auto"/>
            <w:left w:val="none" w:sz="0" w:space="0" w:color="auto"/>
            <w:bottom w:val="none" w:sz="0" w:space="0" w:color="auto"/>
            <w:right w:val="none" w:sz="0" w:space="0" w:color="auto"/>
          </w:divBdr>
        </w:div>
      </w:divsChild>
    </w:div>
    <w:div w:id="139005579">
      <w:bodyDiv w:val="1"/>
      <w:marLeft w:val="0"/>
      <w:marRight w:val="0"/>
      <w:marTop w:val="0"/>
      <w:marBottom w:val="0"/>
      <w:divBdr>
        <w:top w:val="none" w:sz="0" w:space="0" w:color="auto"/>
        <w:left w:val="none" w:sz="0" w:space="0" w:color="auto"/>
        <w:bottom w:val="none" w:sz="0" w:space="0" w:color="auto"/>
        <w:right w:val="none" w:sz="0" w:space="0" w:color="auto"/>
      </w:divBdr>
    </w:div>
    <w:div w:id="192621250">
      <w:bodyDiv w:val="1"/>
      <w:marLeft w:val="0"/>
      <w:marRight w:val="0"/>
      <w:marTop w:val="0"/>
      <w:marBottom w:val="0"/>
      <w:divBdr>
        <w:top w:val="none" w:sz="0" w:space="0" w:color="auto"/>
        <w:left w:val="none" w:sz="0" w:space="0" w:color="auto"/>
        <w:bottom w:val="none" w:sz="0" w:space="0" w:color="auto"/>
        <w:right w:val="none" w:sz="0" w:space="0" w:color="auto"/>
      </w:divBdr>
      <w:divsChild>
        <w:div w:id="1323578282">
          <w:marLeft w:val="547"/>
          <w:marRight w:val="0"/>
          <w:marTop w:val="0"/>
          <w:marBottom w:val="0"/>
          <w:divBdr>
            <w:top w:val="none" w:sz="0" w:space="0" w:color="auto"/>
            <w:left w:val="none" w:sz="0" w:space="0" w:color="auto"/>
            <w:bottom w:val="none" w:sz="0" w:space="0" w:color="auto"/>
            <w:right w:val="none" w:sz="0" w:space="0" w:color="auto"/>
          </w:divBdr>
        </w:div>
      </w:divsChild>
    </w:div>
    <w:div w:id="269750112">
      <w:bodyDiv w:val="1"/>
      <w:marLeft w:val="0"/>
      <w:marRight w:val="0"/>
      <w:marTop w:val="0"/>
      <w:marBottom w:val="0"/>
      <w:divBdr>
        <w:top w:val="none" w:sz="0" w:space="0" w:color="auto"/>
        <w:left w:val="none" w:sz="0" w:space="0" w:color="auto"/>
        <w:bottom w:val="none" w:sz="0" w:space="0" w:color="auto"/>
        <w:right w:val="none" w:sz="0" w:space="0" w:color="auto"/>
      </w:divBdr>
    </w:div>
    <w:div w:id="303051741">
      <w:bodyDiv w:val="1"/>
      <w:marLeft w:val="0"/>
      <w:marRight w:val="0"/>
      <w:marTop w:val="0"/>
      <w:marBottom w:val="0"/>
      <w:divBdr>
        <w:top w:val="none" w:sz="0" w:space="0" w:color="auto"/>
        <w:left w:val="none" w:sz="0" w:space="0" w:color="auto"/>
        <w:bottom w:val="none" w:sz="0" w:space="0" w:color="auto"/>
        <w:right w:val="none" w:sz="0" w:space="0" w:color="auto"/>
      </w:divBdr>
    </w:div>
    <w:div w:id="370619620">
      <w:bodyDiv w:val="1"/>
      <w:marLeft w:val="0"/>
      <w:marRight w:val="0"/>
      <w:marTop w:val="0"/>
      <w:marBottom w:val="0"/>
      <w:divBdr>
        <w:top w:val="none" w:sz="0" w:space="0" w:color="auto"/>
        <w:left w:val="none" w:sz="0" w:space="0" w:color="auto"/>
        <w:bottom w:val="none" w:sz="0" w:space="0" w:color="auto"/>
        <w:right w:val="none" w:sz="0" w:space="0" w:color="auto"/>
      </w:divBdr>
      <w:divsChild>
        <w:div w:id="191725374">
          <w:marLeft w:val="547"/>
          <w:marRight w:val="0"/>
          <w:marTop w:val="0"/>
          <w:marBottom w:val="0"/>
          <w:divBdr>
            <w:top w:val="none" w:sz="0" w:space="0" w:color="auto"/>
            <w:left w:val="none" w:sz="0" w:space="0" w:color="auto"/>
            <w:bottom w:val="none" w:sz="0" w:space="0" w:color="auto"/>
            <w:right w:val="none" w:sz="0" w:space="0" w:color="auto"/>
          </w:divBdr>
        </w:div>
      </w:divsChild>
    </w:div>
    <w:div w:id="695272333">
      <w:bodyDiv w:val="1"/>
      <w:marLeft w:val="0"/>
      <w:marRight w:val="0"/>
      <w:marTop w:val="0"/>
      <w:marBottom w:val="0"/>
      <w:divBdr>
        <w:top w:val="none" w:sz="0" w:space="0" w:color="auto"/>
        <w:left w:val="none" w:sz="0" w:space="0" w:color="auto"/>
        <w:bottom w:val="none" w:sz="0" w:space="0" w:color="auto"/>
        <w:right w:val="none" w:sz="0" w:space="0" w:color="auto"/>
      </w:divBdr>
    </w:div>
    <w:div w:id="701593851">
      <w:bodyDiv w:val="1"/>
      <w:marLeft w:val="0"/>
      <w:marRight w:val="0"/>
      <w:marTop w:val="0"/>
      <w:marBottom w:val="0"/>
      <w:divBdr>
        <w:top w:val="none" w:sz="0" w:space="0" w:color="auto"/>
        <w:left w:val="none" w:sz="0" w:space="0" w:color="auto"/>
        <w:bottom w:val="none" w:sz="0" w:space="0" w:color="auto"/>
        <w:right w:val="none" w:sz="0" w:space="0" w:color="auto"/>
      </w:divBdr>
      <w:divsChild>
        <w:div w:id="642976049">
          <w:marLeft w:val="547"/>
          <w:marRight w:val="0"/>
          <w:marTop w:val="0"/>
          <w:marBottom w:val="0"/>
          <w:divBdr>
            <w:top w:val="none" w:sz="0" w:space="0" w:color="auto"/>
            <w:left w:val="none" w:sz="0" w:space="0" w:color="auto"/>
            <w:bottom w:val="none" w:sz="0" w:space="0" w:color="auto"/>
            <w:right w:val="none" w:sz="0" w:space="0" w:color="auto"/>
          </w:divBdr>
        </w:div>
      </w:divsChild>
    </w:div>
    <w:div w:id="747846159">
      <w:bodyDiv w:val="1"/>
      <w:marLeft w:val="0"/>
      <w:marRight w:val="0"/>
      <w:marTop w:val="0"/>
      <w:marBottom w:val="0"/>
      <w:divBdr>
        <w:top w:val="none" w:sz="0" w:space="0" w:color="auto"/>
        <w:left w:val="none" w:sz="0" w:space="0" w:color="auto"/>
        <w:bottom w:val="none" w:sz="0" w:space="0" w:color="auto"/>
        <w:right w:val="none" w:sz="0" w:space="0" w:color="auto"/>
      </w:divBdr>
      <w:divsChild>
        <w:div w:id="107815422">
          <w:marLeft w:val="547"/>
          <w:marRight w:val="0"/>
          <w:marTop w:val="0"/>
          <w:marBottom w:val="0"/>
          <w:divBdr>
            <w:top w:val="none" w:sz="0" w:space="0" w:color="auto"/>
            <w:left w:val="none" w:sz="0" w:space="0" w:color="auto"/>
            <w:bottom w:val="none" w:sz="0" w:space="0" w:color="auto"/>
            <w:right w:val="none" w:sz="0" w:space="0" w:color="auto"/>
          </w:divBdr>
        </w:div>
      </w:divsChild>
    </w:div>
    <w:div w:id="813063332">
      <w:bodyDiv w:val="1"/>
      <w:marLeft w:val="0"/>
      <w:marRight w:val="0"/>
      <w:marTop w:val="0"/>
      <w:marBottom w:val="0"/>
      <w:divBdr>
        <w:top w:val="none" w:sz="0" w:space="0" w:color="auto"/>
        <w:left w:val="none" w:sz="0" w:space="0" w:color="auto"/>
        <w:bottom w:val="none" w:sz="0" w:space="0" w:color="auto"/>
        <w:right w:val="none" w:sz="0" w:space="0" w:color="auto"/>
      </w:divBdr>
      <w:divsChild>
        <w:div w:id="742685165">
          <w:marLeft w:val="547"/>
          <w:marRight w:val="0"/>
          <w:marTop w:val="0"/>
          <w:marBottom w:val="0"/>
          <w:divBdr>
            <w:top w:val="none" w:sz="0" w:space="0" w:color="auto"/>
            <w:left w:val="none" w:sz="0" w:space="0" w:color="auto"/>
            <w:bottom w:val="none" w:sz="0" w:space="0" w:color="auto"/>
            <w:right w:val="none" w:sz="0" w:space="0" w:color="auto"/>
          </w:divBdr>
        </w:div>
      </w:divsChild>
    </w:div>
    <w:div w:id="819420641">
      <w:bodyDiv w:val="1"/>
      <w:marLeft w:val="0"/>
      <w:marRight w:val="0"/>
      <w:marTop w:val="0"/>
      <w:marBottom w:val="0"/>
      <w:divBdr>
        <w:top w:val="none" w:sz="0" w:space="0" w:color="auto"/>
        <w:left w:val="none" w:sz="0" w:space="0" w:color="auto"/>
        <w:bottom w:val="none" w:sz="0" w:space="0" w:color="auto"/>
        <w:right w:val="none" w:sz="0" w:space="0" w:color="auto"/>
      </w:divBdr>
      <w:divsChild>
        <w:div w:id="149908342">
          <w:marLeft w:val="547"/>
          <w:marRight w:val="0"/>
          <w:marTop w:val="0"/>
          <w:marBottom w:val="0"/>
          <w:divBdr>
            <w:top w:val="none" w:sz="0" w:space="0" w:color="auto"/>
            <w:left w:val="none" w:sz="0" w:space="0" w:color="auto"/>
            <w:bottom w:val="none" w:sz="0" w:space="0" w:color="auto"/>
            <w:right w:val="none" w:sz="0" w:space="0" w:color="auto"/>
          </w:divBdr>
        </w:div>
      </w:divsChild>
    </w:div>
    <w:div w:id="849292450">
      <w:bodyDiv w:val="1"/>
      <w:marLeft w:val="0"/>
      <w:marRight w:val="0"/>
      <w:marTop w:val="0"/>
      <w:marBottom w:val="0"/>
      <w:divBdr>
        <w:top w:val="none" w:sz="0" w:space="0" w:color="auto"/>
        <w:left w:val="none" w:sz="0" w:space="0" w:color="auto"/>
        <w:bottom w:val="none" w:sz="0" w:space="0" w:color="auto"/>
        <w:right w:val="none" w:sz="0" w:space="0" w:color="auto"/>
      </w:divBdr>
      <w:divsChild>
        <w:div w:id="186450665">
          <w:marLeft w:val="547"/>
          <w:marRight w:val="0"/>
          <w:marTop w:val="0"/>
          <w:marBottom w:val="0"/>
          <w:divBdr>
            <w:top w:val="none" w:sz="0" w:space="0" w:color="auto"/>
            <w:left w:val="none" w:sz="0" w:space="0" w:color="auto"/>
            <w:bottom w:val="none" w:sz="0" w:space="0" w:color="auto"/>
            <w:right w:val="none" w:sz="0" w:space="0" w:color="auto"/>
          </w:divBdr>
        </w:div>
      </w:divsChild>
    </w:div>
    <w:div w:id="972709427">
      <w:bodyDiv w:val="1"/>
      <w:marLeft w:val="0"/>
      <w:marRight w:val="0"/>
      <w:marTop w:val="0"/>
      <w:marBottom w:val="0"/>
      <w:divBdr>
        <w:top w:val="none" w:sz="0" w:space="0" w:color="auto"/>
        <w:left w:val="none" w:sz="0" w:space="0" w:color="auto"/>
        <w:bottom w:val="none" w:sz="0" w:space="0" w:color="auto"/>
        <w:right w:val="none" w:sz="0" w:space="0" w:color="auto"/>
      </w:divBdr>
    </w:div>
    <w:div w:id="1143817691">
      <w:bodyDiv w:val="1"/>
      <w:marLeft w:val="0"/>
      <w:marRight w:val="0"/>
      <w:marTop w:val="0"/>
      <w:marBottom w:val="0"/>
      <w:divBdr>
        <w:top w:val="none" w:sz="0" w:space="0" w:color="auto"/>
        <w:left w:val="none" w:sz="0" w:space="0" w:color="auto"/>
        <w:bottom w:val="none" w:sz="0" w:space="0" w:color="auto"/>
        <w:right w:val="none" w:sz="0" w:space="0" w:color="auto"/>
      </w:divBdr>
      <w:divsChild>
        <w:div w:id="2041784178">
          <w:marLeft w:val="547"/>
          <w:marRight w:val="0"/>
          <w:marTop w:val="0"/>
          <w:marBottom w:val="0"/>
          <w:divBdr>
            <w:top w:val="none" w:sz="0" w:space="0" w:color="auto"/>
            <w:left w:val="none" w:sz="0" w:space="0" w:color="auto"/>
            <w:bottom w:val="none" w:sz="0" w:space="0" w:color="auto"/>
            <w:right w:val="none" w:sz="0" w:space="0" w:color="auto"/>
          </w:divBdr>
        </w:div>
      </w:divsChild>
    </w:div>
    <w:div w:id="1244729185">
      <w:bodyDiv w:val="1"/>
      <w:marLeft w:val="0"/>
      <w:marRight w:val="0"/>
      <w:marTop w:val="0"/>
      <w:marBottom w:val="0"/>
      <w:divBdr>
        <w:top w:val="none" w:sz="0" w:space="0" w:color="auto"/>
        <w:left w:val="none" w:sz="0" w:space="0" w:color="auto"/>
        <w:bottom w:val="none" w:sz="0" w:space="0" w:color="auto"/>
        <w:right w:val="none" w:sz="0" w:space="0" w:color="auto"/>
      </w:divBdr>
    </w:div>
    <w:div w:id="1276862351">
      <w:bodyDiv w:val="1"/>
      <w:marLeft w:val="0"/>
      <w:marRight w:val="0"/>
      <w:marTop w:val="0"/>
      <w:marBottom w:val="0"/>
      <w:divBdr>
        <w:top w:val="none" w:sz="0" w:space="0" w:color="auto"/>
        <w:left w:val="none" w:sz="0" w:space="0" w:color="auto"/>
        <w:bottom w:val="none" w:sz="0" w:space="0" w:color="auto"/>
        <w:right w:val="none" w:sz="0" w:space="0" w:color="auto"/>
      </w:divBdr>
      <w:divsChild>
        <w:div w:id="476872415">
          <w:marLeft w:val="547"/>
          <w:marRight w:val="0"/>
          <w:marTop w:val="0"/>
          <w:marBottom w:val="0"/>
          <w:divBdr>
            <w:top w:val="none" w:sz="0" w:space="0" w:color="auto"/>
            <w:left w:val="none" w:sz="0" w:space="0" w:color="auto"/>
            <w:bottom w:val="none" w:sz="0" w:space="0" w:color="auto"/>
            <w:right w:val="none" w:sz="0" w:space="0" w:color="auto"/>
          </w:divBdr>
        </w:div>
      </w:divsChild>
    </w:div>
    <w:div w:id="1285192983">
      <w:bodyDiv w:val="1"/>
      <w:marLeft w:val="0"/>
      <w:marRight w:val="0"/>
      <w:marTop w:val="0"/>
      <w:marBottom w:val="0"/>
      <w:divBdr>
        <w:top w:val="none" w:sz="0" w:space="0" w:color="auto"/>
        <w:left w:val="none" w:sz="0" w:space="0" w:color="auto"/>
        <w:bottom w:val="none" w:sz="0" w:space="0" w:color="auto"/>
        <w:right w:val="none" w:sz="0" w:space="0" w:color="auto"/>
      </w:divBdr>
      <w:divsChild>
        <w:div w:id="1897469865">
          <w:marLeft w:val="547"/>
          <w:marRight w:val="0"/>
          <w:marTop w:val="0"/>
          <w:marBottom w:val="0"/>
          <w:divBdr>
            <w:top w:val="none" w:sz="0" w:space="0" w:color="auto"/>
            <w:left w:val="none" w:sz="0" w:space="0" w:color="auto"/>
            <w:bottom w:val="none" w:sz="0" w:space="0" w:color="auto"/>
            <w:right w:val="none" w:sz="0" w:space="0" w:color="auto"/>
          </w:divBdr>
        </w:div>
      </w:divsChild>
    </w:div>
    <w:div w:id="1327787046">
      <w:bodyDiv w:val="1"/>
      <w:marLeft w:val="0"/>
      <w:marRight w:val="0"/>
      <w:marTop w:val="0"/>
      <w:marBottom w:val="0"/>
      <w:divBdr>
        <w:top w:val="none" w:sz="0" w:space="0" w:color="auto"/>
        <w:left w:val="none" w:sz="0" w:space="0" w:color="auto"/>
        <w:bottom w:val="none" w:sz="0" w:space="0" w:color="auto"/>
        <w:right w:val="none" w:sz="0" w:space="0" w:color="auto"/>
      </w:divBdr>
      <w:divsChild>
        <w:div w:id="2120954682">
          <w:marLeft w:val="547"/>
          <w:marRight w:val="0"/>
          <w:marTop w:val="0"/>
          <w:marBottom w:val="0"/>
          <w:divBdr>
            <w:top w:val="none" w:sz="0" w:space="0" w:color="auto"/>
            <w:left w:val="none" w:sz="0" w:space="0" w:color="auto"/>
            <w:bottom w:val="none" w:sz="0" w:space="0" w:color="auto"/>
            <w:right w:val="none" w:sz="0" w:space="0" w:color="auto"/>
          </w:divBdr>
        </w:div>
      </w:divsChild>
    </w:div>
    <w:div w:id="1361777787">
      <w:bodyDiv w:val="1"/>
      <w:marLeft w:val="0"/>
      <w:marRight w:val="0"/>
      <w:marTop w:val="0"/>
      <w:marBottom w:val="0"/>
      <w:divBdr>
        <w:top w:val="none" w:sz="0" w:space="0" w:color="auto"/>
        <w:left w:val="none" w:sz="0" w:space="0" w:color="auto"/>
        <w:bottom w:val="none" w:sz="0" w:space="0" w:color="auto"/>
        <w:right w:val="none" w:sz="0" w:space="0" w:color="auto"/>
      </w:divBdr>
    </w:div>
    <w:div w:id="1460949490">
      <w:bodyDiv w:val="1"/>
      <w:marLeft w:val="0"/>
      <w:marRight w:val="0"/>
      <w:marTop w:val="0"/>
      <w:marBottom w:val="0"/>
      <w:divBdr>
        <w:top w:val="none" w:sz="0" w:space="0" w:color="auto"/>
        <w:left w:val="none" w:sz="0" w:space="0" w:color="auto"/>
        <w:bottom w:val="none" w:sz="0" w:space="0" w:color="auto"/>
        <w:right w:val="none" w:sz="0" w:space="0" w:color="auto"/>
      </w:divBdr>
      <w:divsChild>
        <w:div w:id="1771050848">
          <w:marLeft w:val="547"/>
          <w:marRight w:val="0"/>
          <w:marTop w:val="0"/>
          <w:marBottom w:val="0"/>
          <w:divBdr>
            <w:top w:val="none" w:sz="0" w:space="0" w:color="auto"/>
            <w:left w:val="none" w:sz="0" w:space="0" w:color="auto"/>
            <w:bottom w:val="none" w:sz="0" w:space="0" w:color="auto"/>
            <w:right w:val="none" w:sz="0" w:space="0" w:color="auto"/>
          </w:divBdr>
        </w:div>
      </w:divsChild>
    </w:div>
    <w:div w:id="1565529200">
      <w:bodyDiv w:val="1"/>
      <w:marLeft w:val="0"/>
      <w:marRight w:val="0"/>
      <w:marTop w:val="0"/>
      <w:marBottom w:val="0"/>
      <w:divBdr>
        <w:top w:val="none" w:sz="0" w:space="0" w:color="auto"/>
        <w:left w:val="none" w:sz="0" w:space="0" w:color="auto"/>
        <w:bottom w:val="none" w:sz="0" w:space="0" w:color="auto"/>
        <w:right w:val="none" w:sz="0" w:space="0" w:color="auto"/>
      </w:divBdr>
      <w:divsChild>
        <w:div w:id="1029916456">
          <w:marLeft w:val="547"/>
          <w:marRight w:val="0"/>
          <w:marTop w:val="0"/>
          <w:marBottom w:val="0"/>
          <w:divBdr>
            <w:top w:val="none" w:sz="0" w:space="0" w:color="auto"/>
            <w:left w:val="none" w:sz="0" w:space="0" w:color="auto"/>
            <w:bottom w:val="none" w:sz="0" w:space="0" w:color="auto"/>
            <w:right w:val="none" w:sz="0" w:space="0" w:color="auto"/>
          </w:divBdr>
        </w:div>
      </w:divsChild>
    </w:div>
    <w:div w:id="1608540570">
      <w:bodyDiv w:val="1"/>
      <w:marLeft w:val="0"/>
      <w:marRight w:val="0"/>
      <w:marTop w:val="0"/>
      <w:marBottom w:val="0"/>
      <w:divBdr>
        <w:top w:val="none" w:sz="0" w:space="0" w:color="auto"/>
        <w:left w:val="none" w:sz="0" w:space="0" w:color="auto"/>
        <w:bottom w:val="none" w:sz="0" w:space="0" w:color="auto"/>
        <w:right w:val="none" w:sz="0" w:space="0" w:color="auto"/>
      </w:divBdr>
    </w:div>
    <w:div w:id="1857688921">
      <w:bodyDiv w:val="1"/>
      <w:marLeft w:val="0"/>
      <w:marRight w:val="0"/>
      <w:marTop w:val="0"/>
      <w:marBottom w:val="0"/>
      <w:divBdr>
        <w:top w:val="none" w:sz="0" w:space="0" w:color="auto"/>
        <w:left w:val="none" w:sz="0" w:space="0" w:color="auto"/>
        <w:bottom w:val="none" w:sz="0" w:space="0" w:color="auto"/>
        <w:right w:val="none" w:sz="0" w:space="0" w:color="auto"/>
      </w:divBdr>
      <w:divsChild>
        <w:div w:id="1537304169">
          <w:marLeft w:val="547"/>
          <w:marRight w:val="0"/>
          <w:marTop w:val="0"/>
          <w:marBottom w:val="0"/>
          <w:divBdr>
            <w:top w:val="none" w:sz="0" w:space="0" w:color="auto"/>
            <w:left w:val="none" w:sz="0" w:space="0" w:color="auto"/>
            <w:bottom w:val="none" w:sz="0" w:space="0" w:color="auto"/>
            <w:right w:val="none" w:sz="0" w:space="0" w:color="auto"/>
          </w:divBdr>
        </w:div>
      </w:divsChild>
    </w:div>
    <w:div w:id="2082871082">
      <w:bodyDiv w:val="1"/>
      <w:marLeft w:val="0"/>
      <w:marRight w:val="0"/>
      <w:marTop w:val="0"/>
      <w:marBottom w:val="0"/>
      <w:divBdr>
        <w:top w:val="none" w:sz="0" w:space="0" w:color="auto"/>
        <w:left w:val="none" w:sz="0" w:space="0" w:color="auto"/>
        <w:bottom w:val="none" w:sz="0" w:space="0" w:color="auto"/>
        <w:right w:val="none" w:sz="0" w:space="0" w:color="auto"/>
      </w:divBdr>
    </w:div>
    <w:div w:id="2092696418">
      <w:bodyDiv w:val="1"/>
      <w:marLeft w:val="0"/>
      <w:marRight w:val="0"/>
      <w:marTop w:val="0"/>
      <w:marBottom w:val="0"/>
      <w:divBdr>
        <w:top w:val="none" w:sz="0" w:space="0" w:color="auto"/>
        <w:left w:val="none" w:sz="0" w:space="0" w:color="auto"/>
        <w:bottom w:val="none" w:sz="0" w:space="0" w:color="auto"/>
        <w:right w:val="none" w:sz="0" w:space="0" w:color="auto"/>
      </w:divBdr>
      <w:divsChild>
        <w:div w:id="525673561">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latrobeuni-my.sharepoint.com/personal/j2ison_ltu_edu_au/Documents/Projects%20-%20LH%20and%20JI/ASaPP/Final%20report%20and%20TOC/ASaPP_Final%20Report_DRAFT_25%20Feb%202021.docx"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latrobeuni-my.sharepoint.com/personal/j2ison_ltu_edu_au/Documents/Projects%20-%20LH%20and%20JI/ASaPP/Final%20report%20and%20TOC/ASaPP_Final%20Report_DRAFT_25%20Feb%202021.docx" TargetMode="Externa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latrobeuni-my.sharepoint.com/personal/j2ison_ltu_edu_au/Documents/Projects%20-%20LH%20and%20JI/ASaPP/Final%20report%20and%20TOC/ASaPP_Final%20Report_DRAFT_25%20Feb%202021.docx" TargetMode="External"/><Relationship Id="rId20" Type="http://schemas.openxmlformats.org/officeDocument/2006/relationships/hyperlink" Target="https://latrobeuni-my.sharepoint.com/personal/j2ison_ltu_edu_au/Documents/Projects%20-%20LH%20and%20JI/ASaPP/Final%20report%20and%20TOC/ASaPP_Final%20Report_DRAFT_25%20Feb%202021.docx"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2.png"/><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yperlink" Target="https://latrobeuni-my.sharepoint.com/personal/j2ison_ltu_edu_au/Documents/Projects%20-%20LH%20and%20JI/ASaPP/Final%20report%20and%20TOC/ASaPP_Final%20Report_DRAFT_25%20Feb%202021.docx"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image" Target="media/image6.png"/><Relationship Id="rId30"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CF2E94762994120941325840444E87B"/>
        <w:category>
          <w:name w:val="General"/>
          <w:gallery w:val="placeholder"/>
        </w:category>
        <w:types>
          <w:type w:val="bbPlcHdr"/>
        </w:types>
        <w:behaviors>
          <w:behavior w:val="content"/>
        </w:behaviors>
        <w:guid w:val="{3E8628BA-76D3-4009-86AA-233DCB89D999}"/>
      </w:docPartPr>
      <w:docPartBody>
        <w:p w:rsidR="00A119C4" w:rsidRDefault="00A04266" w:rsidP="00A04266">
          <w:pPr>
            <w:pStyle w:val="7CF2E94762994120941325840444E87B"/>
          </w:pPr>
          <w:r w:rsidRPr="00CA5F90">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00000001"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Medium">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rioni Std Medium">
    <w:altName w:val="Calibri"/>
    <w:panose1 w:val="00000000000000000000"/>
    <w:charset w:val="00"/>
    <w:family w:val="modern"/>
    <w:notTrueType/>
    <w:pitch w:val="variable"/>
    <w:sig w:usb0="A000003F" w:usb1="5001E47B" w:usb2="00000000" w:usb3="00000000" w:csb0="00000093" w:csb1="00000000"/>
  </w:font>
  <w:font w:name="Georgia">
    <w:panose1 w:val="02040502050405020303"/>
    <w:charset w:val="00"/>
    <w:family w:val="roman"/>
    <w:pitch w:val="variable"/>
    <w:sig w:usb0="00000287" w:usb1="00000000" w:usb2="00000000" w:usb3="00000000" w:csb0="0000009F" w:csb1="00000000"/>
  </w:font>
  <w:font w:name="Times New Roman (Headings CS)">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Roboto-Regular">
    <w:altName w:val="Times New Roman"/>
    <w:charset w:val="00"/>
    <w:family w:val="auto"/>
    <w:pitch w:val="variable"/>
    <w:sig w:usb0="00000001" w:usb1="5000205B" w:usb2="00000020" w:usb3="00000000" w:csb0="0000019F" w:csb1="00000000"/>
  </w:font>
  <w:font w:name="Roboto-Italic">
    <w:altName w:val="Times New Roman"/>
    <w:charset w:val="00"/>
    <w:family w:val="auto"/>
    <w:pitch w:val="variable"/>
    <w:sig w:usb0="00000001" w:usb1="5000205B" w:usb2="0000002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E51"/>
    <w:rsid w:val="00006409"/>
    <w:rsid w:val="00015C2F"/>
    <w:rsid w:val="00040AC0"/>
    <w:rsid w:val="000620FA"/>
    <w:rsid w:val="000F2501"/>
    <w:rsid w:val="000F5A2B"/>
    <w:rsid w:val="00110F07"/>
    <w:rsid w:val="00113E51"/>
    <w:rsid w:val="0016728D"/>
    <w:rsid w:val="0019166A"/>
    <w:rsid w:val="00192455"/>
    <w:rsid w:val="001E4158"/>
    <w:rsid w:val="0026580C"/>
    <w:rsid w:val="00271282"/>
    <w:rsid w:val="00297A21"/>
    <w:rsid w:val="002B06C0"/>
    <w:rsid w:val="002F3CB2"/>
    <w:rsid w:val="00312760"/>
    <w:rsid w:val="0031736B"/>
    <w:rsid w:val="00367CD7"/>
    <w:rsid w:val="003E184B"/>
    <w:rsid w:val="004030F8"/>
    <w:rsid w:val="00406438"/>
    <w:rsid w:val="004304F2"/>
    <w:rsid w:val="004307C0"/>
    <w:rsid w:val="00457198"/>
    <w:rsid w:val="0047604E"/>
    <w:rsid w:val="005C35DB"/>
    <w:rsid w:val="005F7694"/>
    <w:rsid w:val="00607B88"/>
    <w:rsid w:val="006134FE"/>
    <w:rsid w:val="0066303F"/>
    <w:rsid w:val="00680E40"/>
    <w:rsid w:val="006A7442"/>
    <w:rsid w:val="0073570A"/>
    <w:rsid w:val="00775E83"/>
    <w:rsid w:val="00792731"/>
    <w:rsid w:val="007C055B"/>
    <w:rsid w:val="007C6EBB"/>
    <w:rsid w:val="007E4652"/>
    <w:rsid w:val="00816369"/>
    <w:rsid w:val="00837AD2"/>
    <w:rsid w:val="008658AE"/>
    <w:rsid w:val="0087454C"/>
    <w:rsid w:val="008F4100"/>
    <w:rsid w:val="0090762B"/>
    <w:rsid w:val="00911191"/>
    <w:rsid w:val="00912807"/>
    <w:rsid w:val="00946584"/>
    <w:rsid w:val="00951112"/>
    <w:rsid w:val="009A4C95"/>
    <w:rsid w:val="009F5015"/>
    <w:rsid w:val="00A006E3"/>
    <w:rsid w:val="00A04266"/>
    <w:rsid w:val="00A06C08"/>
    <w:rsid w:val="00A119C4"/>
    <w:rsid w:val="00A27CD9"/>
    <w:rsid w:val="00A53B9A"/>
    <w:rsid w:val="00A5488C"/>
    <w:rsid w:val="00A63E8F"/>
    <w:rsid w:val="00A6573F"/>
    <w:rsid w:val="00A93B38"/>
    <w:rsid w:val="00AB3E41"/>
    <w:rsid w:val="00AD4EE9"/>
    <w:rsid w:val="00AF1711"/>
    <w:rsid w:val="00AF34A6"/>
    <w:rsid w:val="00B14DF9"/>
    <w:rsid w:val="00B17AAB"/>
    <w:rsid w:val="00B242CF"/>
    <w:rsid w:val="00B3364F"/>
    <w:rsid w:val="00B43C4F"/>
    <w:rsid w:val="00B474A3"/>
    <w:rsid w:val="00B9447D"/>
    <w:rsid w:val="00BA3736"/>
    <w:rsid w:val="00BA7452"/>
    <w:rsid w:val="00C219F4"/>
    <w:rsid w:val="00C5433C"/>
    <w:rsid w:val="00CB29A8"/>
    <w:rsid w:val="00D12F84"/>
    <w:rsid w:val="00D239A5"/>
    <w:rsid w:val="00D61FEB"/>
    <w:rsid w:val="00D67364"/>
    <w:rsid w:val="00DD09F8"/>
    <w:rsid w:val="00E10F8D"/>
    <w:rsid w:val="00E34C2C"/>
    <w:rsid w:val="00EB51E6"/>
    <w:rsid w:val="00EC3B97"/>
    <w:rsid w:val="00F43DA5"/>
    <w:rsid w:val="00F87A66"/>
    <w:rsid w:val="00FB4D9E"/>
    <w:rsid w:val="00FD6B4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A04266"/>
    <w:rPr>
      <w:color w:val="808080"/>
    </w:rPr>
  </w:style>
  <w:style w:type="paragraph" w:customStyle="1" w:styleId="7CF2E94762994120941325840444E87B">
    <w:name w:val="7CF2E94762994120941325840444E87B"/>
    <w:rsid w:val="00A042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LTU 2017">
      <a:dk1>
        <a:srgbClr val="000000"/>
      </a:dk1>
      <a:lt1>
        <a:sysClr val="window" lastClr="FFFFFF"/>
      </a:lt1>
      <a:dk2>
        <a:srgbClr val="000000"/>
      </a:dk2>
      <a:lt2>
        <a:srgbClr val="FFFFFF"/>
      </a:lt2>
      <a:accent1>
        <a:srgbClr val="EE3124"/>
      </a:accent1>
      <a:accent2>
        <a:srgbClr val="EE3124"/>
      </a:accent2>
      <a:accent3>
        <a:srgbClr val="EE3124"/>
      </a:accent3>
      <a:accent4>
        <a:srgbClr val="EE3124"/>
      </a:accent4>
      <a:accent5>
        <a:srgbClr val="EE3124"/>
      </a:accent5>
      <a:accent6>
        <a:srgbClr val="EE3124"/>
      </a:accent6>
      <a:hlink>
        <a:srgbClr val="EE3124"/>
      </a:hlink>
      <a:folHlink>
        <a:srgbClr val="EE3124"/>
      </a:folHlink>
    </a:clrScheme>
    <a:fontScheme name="LTU 2017">
      <a:majorFont>
        <a:latin typeface="Roboto Medium"/>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97B0F9CAC9D8242A80B9B2B38F69D0D" ma:contentTypeVersion="13" ma:contentTypeDescription="Create a new document." ma:contentTypeScope="" ma:versionID="bfa3aafb8385714f8c5cf917a42fdb3b">
  <xsd:schema xmlns:xsd="http://www.w3.org/2001/XMLSchema" xmlns:xs="http://www.w3.org/2001/XMLSchema" xmlns:p="http://schemas.microsoft.com/office/2006/metadata/properties" xmlns:ns3="b73d7e88-5fca-4bc7-8c15-17afa20ac46c" xmlns:ns4="69d41ba9-e8e0-4f47-b574-3308d1a1fff4" targetNamespace="http://schemas.microsoft.com/office/2006/metadata/properties" ma:root="true" ma:fieldsID="5f3440c7cde0231d222651e9aabaee9f" ns3:_="" ns4:_="">
    <xsd:import namespace="b73d7e88-5fca-4bc7-8c15-17afa20ac46c"/>
    <xsd:import namespace="69d41ba9-e8e0-4f47-b574-3308d1a1fff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3d7e88-5fca-4bc7-8c15-17afa20ac4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d41ba9-e8e0-4f47-b574-3308d1a1fff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59CB8-5F45-4E58-8896-30B192EAB490}">
  <ds:schemaRefs>
    <ds:schemaRef ds:uri="http://schemas.microsoft.com/sharepoint/v3/contenttype/forms"/>
  </ds:schemaRefs>
</ds:datastoreItem>
</file>

<file path=customXml/itemProps2.xml><?xml version="1.0" encoding="utf-8"?>
<ds:datastoreItem xmlns:ds="http://schemas.openxmlformats.org/officeDocument/2006/customXml" ds:itemID="{DA276A13-8CDA-4552-BCA4-9CB5FB5792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E578681-56DF-4EEC-A041-455509B7E2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3d7e88-5fca-4bc7-8c15-17afa20ac46c"/>
    <ds:schemaRef ds:uri="69d41ba9-e8e0-4f47-b574-3308d1a1ff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961CEC-436F-464A-9857-5B084220A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60</Pages>
  <Words>40984</Words>
  <Characters>233611</Characters>
  <Application>Microsoft Office Word</Application>
  <DocSecurity>0</DocSecurity>
  <Lines>1946</Lines>
  <Paragraphs>548</Paragraphs>
  <ScaleCrop>false</ScaleCrop>
  <HeadingPairs>
    <vt:vector size="2" baseType="variant">
      <vt:variant>
        <vt:lpstr>Title</vt:lpstr>
      </vt:variant>
      <vt:variant>
        <vt:i4>1</vt:i4>
      </vt:variant>
    </vt:vector>
  </HeadingPairs>
  <TitlesOfParts>
    <vt:vector size="1" baseType="lpstr">
      <vt:lpstr/>
    </vt:vector>
  </TitlesOfParts>
  <Company>La Trobe University</Company>
  <LinksUpToDate>false</LinksUpToDate>
  <CharactersWithSpaces>274047</CharactersWithSpaces>
  <SharedDoc>false</SharedDoc>
  <HLinks>
    <vt:vector size="252" baseType="variant">
      <vt:variant>
        <vt:i4>1048626</vt:i4>
      </vt:variant>
      <vt:variant>
        <vt:i4>254</vt:i4>
      </vt:variant>
      <vt:variant>
        <vt:i4>0</vt:i4>
      </vt:variant>
      <vt:variant>
        <vt:i4>5</vt:i4>
      </vt:variant>
      <vt:variant>
        <vt:lpwstr/>
      </vt:variant>
      <vt:variant>
        <vt:lpwstr>_Toc65156136</vt:lpwstr>
      </vt:variant>
      <vt:variant>
        <vt:i4>1245234</vt:i4>
      </vt:variant>
      <vt:variant>
        <vt:i4>248</vt:i4>
      </vt:variant>
      <vt:variant>
        <vt:i4>0</vt:i4>
      </vt:variant>
      <vt:variant>
        <vt:i4>5</vt:i4>
      </vt:variant>
      <vt:variant>
        <vt:lpwstr/>
      </vt:variant>
      <vt:variant>
        <vt:lpwstr>_Toc65156135</vt:lpwstr>
      </vt:variant>
      <vt:variant>
        <vt:i4>1179698</vt:i4>
      </vt:variant>
      <vt:variant>
        <vt:i4>242</vt:i4>
      </vt:variant>
      <vt:variant>
        <vt:i4>0</vt:i4>
      </vt:variant>
      <vt:variant>
        <vt:i4>5</vt:i4>
      </vt:variant>
      <vt:variant>
        <vt:lpwstr/>
      </vt:variant>
      <vt:variant>
        <vt:lpwstr>_Toc65156134</vt:lpwstr>
      </vt:variant>
      <vt:variant>
        <vt:i4>1376306</vt:i4>
      </vt:variant>
      <vt:variant>
        <vt:i4>233</vt:i4>
      </vt:variant>
      <vt:variant>
        <vt:i4>0</vt:i4>
      </vt:variant>
      <vt:variant>
        <vt:i4>5</vt:i4>
      </vt:variant>
      <vt:variant>
        <vt:lpwstr/>
      </vt:variant>
      <vt:variant>
        <vt:lpwstr>_Toc65156133</vt:lpwstr>
      </vt:variant>
      <vt:variant>
        <vt:i4>1245241</vt:i4>
      </vt:variant>
      <vt:variant>
        <vt:i4>227</vt:i4>
      </vt:variant>
      <vt:variant>
        <vt:i4>0</vt:i4>
      </vt:variant>
      <vt:variant>
        <vt:i4>5</vt:i4>
      </vt:variant>
      <vt:variant>
        <vt:lpwstr>https://latrobeuni-my.sharepoint.com/personal/j2ison_ltu_edu_au/Documents/Projects - LH and JI/ASaPP/Final report and TOC/ASaPP_Final Report_DRAFT_25 Feb 2021.docx</vt:lpwstr>
      </vt:variant>
      <vt:variant>
        <vt:lpwstr>_Toc65156132</vt:lpwstr>
      </vt:variant>
      <vt:variant>
        <vt:i4>1048633</vt:i4>
      </vt:variant>
      <vt:variant>
        <vt:i4>221</vt:i4>
      </vt:variant>
      <vt:variant>
        <vt:i4>0</vt:i4>
      </vt:variant>
      <vt:variant>
        <vt:i4>5</vt:i4>
      </vt:variant>
      <vt:variant>
        <vt:lpwstr>https://latrobeuni-my.sharepoint.com/personal/j2ison_ltu_edu_au/Documents/Projects - LH and JI/ASaPP/Final report and TOC/ASaPP_Final Report_DRAFT_25 Feb 2021.docx</vt:lpwstr>
      </vt:variant>
      <vt:variant>
        <vt:lpwstr>_Toc65156131</vt:lpwstr>
      </vt:variant>
      <vt:variant>
        <vt:i4>1114169</vt:i4>
      </vt:variant>
      <vt:variant>
        <vt:i4>215</vt:i4>
      </vt:variant>
      <vt:variant>
        <vt:i4>0</vt:i4>
      </vt:variant>
      <vt:variant>
        <vt:i4>5</vt:i4>
      </vt:variant>
      <vt:variant>
        <vt:lpwstr>https://latrobeuni-my.sharepoint.com/personal/j2ison_ltu_edu_au/Documents/Projects - LH and JI/ASaPP/Final report and TOC/ASaPP_Final Report_DRAFT_25 Feb 2021.docx</vt:lpwstr>
      </vt:variant>
      <vt:variant>
        <vt:lpwstr>_Toc65156130</vt:lpwstr>
      </vt:variant>
      <vt:variant>
        <vt:i4>1572920</vt:i4>
      </vt:variant>
      <vt:variant>
        <vt:i4>209</vt:i4>
      </vt:variant>
      <vt:variant>
        <vt:i4>0</vt:i4>
      </vt:variant>
      <vt:variant>
        <vt:i4>5</vt:i4>
      </vt:variant>
      <vt:variant>
        <vt:lpwstr>https://latrobeuni-my.sharepoint.com/personal/j2ison_ltu_edu_au/Documents/Projects - LH and JI/ASaPP/Final report and TOC/ASaPP_Final Report_DRAFT_25 Feb 2021.docx</vt:lpwstr>
      </vt:variant>
      <vt:variant>
        <vt:lpwstr>_Toc65156129</vt:lpwstr>
      </vt:variant>
      <vt:variant>
        <vt:i4>1638456</vt:i4>
      </vt:variant>
      <vt:variant>
        <vt:i4>203</vt:i4>
      </vt:variant>
      <vt:variant>
        <vt:i4>0</vt:i4>
      </vt:variant>
      <vt:variant>
        <vt:i4>5</vt:i4>
      </vt:variant>
      <vt:variant>
        <vt:lpwstr>https://latrobeuni-my.sharepoint.com/personal/j2ison_ltu_edu_au/Documents/Projects - LH and JI/ASaPP/Final report and TOC/ASaPP_Final Report_DRAFT_25 Feb 2021.docx</vt:lpwstr>
      </vt:variant>
      <vt:variant>
        <vt:lpwstr>_Toc65156128</vt:lpwstr>
      </vt:variant>
      <vt:variant>
        <vt:i4>1441848</vt:i4>
      </vt:variant>
      <vt:variant>
        <vt:i4>197</vt:i4>
      </vt:variant>
      <vt:variant>
        <vt:i4>0</vt:i4>
      </vt:variant>
      <vt:variant>
        <vt:i4>5</vt:i4>
      </vt:variant>
      <vt:variant>
        <vt:lpwstr>https://latrobeuni-my.sharepoint.com/personal/j2ison_ltu_edu_au/Documents/Projects - LH and JI/ASaPP/Final report and TOC/ASaPP_Final Report_DRAFT_25 Feb 2021.docx</vt:lpwstr>
      </vt:variant>
      <vt:variant>
        <vt:lpwstr>_Toc65156127</vt:lpwstr>
      </vt:variant>
      <vt:variant>
        <vt:i4>1048627</vt:i4>
      </vt:variant>
      <vt:variant>
        <vt:i4>188</vt:i4>
      </vt:variant>
      <vt:variant>
        <vt:i4>0</vt:i4>
      </vt:variant>
      <vt:variant>
        <vt:i4>5</vt:i4>
      </vt:variant>
      <vt:variant>
        <vt:lpwstr/>
      </vt:variant>
      <vt:variant>
        <vt:lpwstr>_Toc65156126</vt:lpwstr>
      </vt:variant>
      <vt:variant>
        <vt:i4>1245235</vt:i4>
      </vt:variant>
      <vt:variant>
        <vt:i4>182</vt:i4>
      </vt:variant>
      <vt:variant>
        <vt:i4>0</vt:i4>
      </vt:variant>
      <vt:variant>
        <vt:i4>5</vt:i4>
      </vt:variant>
      <vt:variant>
        <vt:lpwstr/>
      </vt:variant>
      <vt:variant>
        <vt:lpwstr>_Toc65156125</vt:lpwstr>
      </vt:variant>
      <vt:variant>
        <vt:i4>1179699</vt:i4>
      </vt:variant>
      <vt:variant>
        <vt:i4>176</vt:i4>
      </vt:variant>
      <vt:variant>
        <vt:i4>0</vt:i4>
      </vt:variant>
      <vt:variant>
        <vt:i4>5</vt:i4>
      </vt:variant>
      <vt:variant>
        <vt:lpwstr/>
      </vt:variant>
      <vt:variant>
        <vt:lpwstr>_Toc65156124</vt:lpwstr>
      </vt:variant>
      <vt:variant>
        <vt:i4>1376307</vt:i4>
      </vt:variant>
      <vt:variant>
        <vt:i4>170</vt:i4>
      </vt:variant>
      <vt:variant>
        <vt:i4>0</vt:i4>
      </vt:variant>
      <vt:variant>
        <vt:i4>5</vt:i4>
      </vt:variant>
      <vt:variant>
        <vt:lpwstr/>
      </vt:variant>
      <vt:variant>
        <vt:lpwstr>_Toc65156123</vt:lpwstr>
      </vt:variant>
      <vt:variant>
        <vt:i4>1310771</vt:i4>
      </vt:variant>
      <vt:variant>
        <vt:i4>164</vt:i4>
      </vt:variant>
      <vt:variant>
        <vt:i4>0</vt:i4>
      </vt:variant>
      <vt:variant>
        <vt:i4>5</vt:i4>
      </vt:variant>
      <vt:variant>
        <vt:lpwstr/>
      </vt:variant>
      <vt:variant>
        <vt:lpwstr>_Toc65156122</vt:lpwstr>
      </vt:variant>
      <vt:variant>
        <vt:i4>1507379</vt:i4>
      </vt:variant>
      <vt:variant>
        <vt:i4>158</vt:i4>
      </vt:variant>
      <vt:variant>
        <vt:i4>0</vt:i4>
      </vt:variant>
      <vt:variant>
        <vt:i4>5</vt:i4>
      </vt:variant>
      <vt:variant>
        <vt:lpwstr/>
      </vt:variant>
      <vt:variant>
        <vt:lpwstr>_Toc65156121</vt:lpwstr>
      </vt:variant>
      <vt:variant>
        <vt:i4>1441843</vt:i4>
      </vt:variant>
      <vt:variant>
        <vt:i4>152</vt:i4>
      </vt:variant>
      <vt:variant>
        <vt:i4>0</vt:i4>
      </vt:variant>
      <vt:variant>
        <vt:i4>5</vt:i4>
      </vt:variant>
      <vt:variant>
        <vt:lpwstr/>
      </vt:variant>
      <vt:variant>
        <vt:lpwstr>_Toc65156120</vt:lpwstr>
      </vt:variant>
      <vt:variant>
        <vt:i4>2031664</vt:i4>
      </vt:variant>
      <vt:variant>
        <vt:i4>146</vt:i4>
      </vt:variant>
      <vt:variant>
        <vt:i4>0</vt:i4>
      </vt:variant>
      <vt:variant>
        <vt:i4>5</vt:i4>
      </vt:variant>
      <vt:variant>
        <vt:lpwstr/>
      </vt:variant>
      <vt:variant>
        <vt:lpwstr>_Toc65156119</vt:lpwstr>
      </vt:variant>
      <vt:variant>
        <vt:i4>1966128</vt:i4>
      </vt:variant>
      <vt:variant>
        <vt:i4>140</vt:i4>
      </vt:variant>
      <vt:variant>
        <vt:i4>0</vt:i4>
      </vt:variant>
      <vt:variant>
        <vt:i4>5</vt:i4>
      </vt:variant>
      <vt:variant>
        <vt:lpwstr/>
      </vt:variant>
      <vt:variant>
        <vt:lpwstr>_Toc65156118</vt:lpwstr>
      </vt:variant>
      <vt:variant>
        <vt:i4>1114160</vt:i4>
      </vt:variant>
      <vt:variant>
        <vt:i4>134</vt:i4>
      </vt:variant>
      <vt:variant>
        <vt:i4>0</vt:i4>
      </vt:variant>
      <vt:variant>
        <vt:i4>5</vt:i4>
      </vt:variant>
      <vt:variant>
        <vt:lpwstr/>
      </vt:variant>
      <vt:variant>
        <vt:lpwstr>_Toc65156117</vt:lpwstr>
      </vt:variant>
      <vt:variant>
        <vt:i4>1048624</vt:i4>
      </vt:variant>
      <vt:variant>
        <vt:i4>128</vt:i4>
      </vt:variant>
      <vt:variant>
        <vt:i4>0</vt:i4>
      </vt:variant>
      <vt:variant>
        <vt:i4>5</vt:i4>
      </vt:variant>
      <vt:variant>
        <vt:lpwstr/>
      </vt:variant>
      <vt:variant>
        <vt:lpwstr>_Toc65156116</vt:lpwstr>
      </vt:variant>
      <vt:variant>
        <vt:i4>1245232</vt:i4>
      </vt:variant>
      <vt:variant>
        <vt:i4>122</vt:i4>
      </vt:variant>
      <vt:variant>
        <vt:i4>0</vt:i4>
      </vt:variant>
      <vt:variant>
        <vt:i4>5</vt:i4>
      </vt:variant>
      <vt:variant>
        <vt:lpwstr/>
      </vt:variant>
      <vt:variant>
        <vt:lpwstr>_Toc65156115</vt:lpwstr>
      </vt:variant>
      <vt:variant>
        <vt:i4>1179696</vt:i4>
      </vt:variant>
      <vt:variant>
        <vt:i4>116</vt:i4>
      </vt:variant>
      <vt:variant>
        <vt:i4>0</vt:i4>
      </vt:variant>
      <vt:variant>
        <vt:i4>5</vt:i4>
      </vt:variant>
      <vt:variant>
        <vt:lpwstr/>
      </vt:variant>
      <vt:variant>
        <vt:lpwstr>_Toc65156114</vt:lpwstr>
      </vt:variant>
      <vt:variant>
        <vt:i4>1376304</vt:i4>
      </vt:variant>
      <vt:variant>
        <vt:i4>110</vt:i4>
      </vt:variant>
      <vt:variant>
        <vt:i4>0</vt:i4>
      </vt:variant>
      <vt:variant>
        <vt:i4>5</vt:i4>
      </vt:variant>
      <vt:variant>
        <vt:lpwstr/>
      </vt:variant>
      <vt:variant>
        <vt:lpwstr>_Toc65156113</vt:lpwstr>
      </vt:variant>
      <vt:variant>
        <vt:i4>1310768</vt:i4>
      </vt:variant>
      <vt:variant>
        <vt:i4>104</vt:i4>
      </vt:variant>
      <vt:variant>
        <vt:i4>0</vt:i4>
      </vt:variant>
      <vt:variant>
        <vt:i4>5</vt:i4>
      </vt:variant>
      <vt:variant>
        <vt:lpwstr/>
      </vt:variant>
      <vt:variant>
        <vt:lpwstr>_Toc65156112</vt:lpwstr>
      </vt:variant>
      <vt:variant>
        <vt:i4>1507376</vt:i4>
      </vt:variant>
      <vt:variant>
        <vt:i4>98</vt:i4>
      </vt:variant>
      <vt:variant>
        <vt:i4>0</vt:i4>
      </vt:variant>
      <vt:variant>
        <vt:i4>5</vt:i4>
      </vt:variant>
      <vt:variant>
        <vt:lpwstr/>
      </vt:variant>
      <vt:variant>
        <vt:lpwstr>_Toc65156111</vt:lpwstr>
      </vt:variant>
      <vt:variant>
        <vt:i4>1441840</vt:i4>
      </vt:variant>
      <vt:variant>
        <vt:i4>92</vt:i4>
      </vt:variant>
      <vt:variant>
        <vt:i4>0</vt:i4>
      </vt:variant>
      <vt:variant>
        <vt:i4>5</vt:i4>
      </vt:variant>
      <vt:variant>
        <vt:lpwstr/>
      </vt:variant>
      <vt:variant>
        <vt:lpwstr>_Toc65156110</vt:lpwstr>
      </vt:variant>
      <vt:variant>
        <vt:i4>2031665</vt:i4>
      </vt:variant>
      <vt:variant>
        <vt:i4>86</vt:i4>
      </vt:variant>
      <vt:variant>
        <vt:i4>0</vt:i4>
      </vt:variant>
      <vt:variant>
        <vt:i4>5</vt:i4>
      </vt:variant>
      <vt:variant>
        <vt:lpwstr/>
      </vt:variant>
      <vt:variant>
        <vt:lpwstr>_Toc65156109</vt:lpwstr>
      </vt:variant>
      <vt:variant>
        <vt:i4>1966129</vt:i4>
      </vt:variant>
      <vt:variant>
        <vt:i4>80</vt:i4>
      </vt:variant>
      <vt:variant>
        <vt:i4>0</vt:i4>
      </vt:variant>
      <vt:variant>
        <vt:i4>5</vt:i4>
      </vt:variant>
      <vt:variant>
        <vt:lpwstr/>
      </vt:variant>
      <vt:variant>
        <vt:lpwstr>_Toc65156108</vt:lpwstr>
      </vt:variant>
      <vt:variant>
        <vt:i4>1114161</vt:i4>
      </vt:variant>
      <vt:variant>
        <vt:i4>74</vt:i4>
      </vt:variant>
      <vt:variant>
        <vt:i4>0</vt:i4>
      </vt:variant>
      <vt:variant>
        <vt:i4>5</vt:i4>
      </vt:variant>
      <vt:variant>
        <vt:lpwstr/>
      </vt:variant>
      <vt:variant>
        <vt:lpwstr>_Toc65156107</vt:lpwstr>
      </vt:variant>
      <vt:variant>
        <vt:i4>1048625</vt:i4>
      </vt:variant>
      <vt:variant>
        <vt:i4>68</vt:i4>
      </vt:variant>
      <vt:variant>
        <vt:i4>0</vt:i4>
      </vt:variant>
      <vt:variant>
        <vt:i4>5</vt:i4>
      </vt:variant>
      <vt:variant>
        <vt:lpwstr/>
      </vt:variant>
      <vt:variant>
        <vt:lpwstr>_Toc65156106</vt:lpwstr>
      </vt:variant>
      <vt:variant>
        <vt:i4>1245233</vt:i4>
      </vt:variant>
      <vt:variant>
        <vt:i4>62</vt:i4>
      </vt:variant>
      <vt:variant>
        <vt:i4>0</vt:i4>
      </vt:variant>
      <vt:variant>
        <vt:i4>5</vt:i4>
      </vt:variant>
      <vt:variant>
        <vt:lpwstr/>
      </vt:variant>
      <vt:variant>
        <vt:lpwstr>_Toc65156105</vt:lpwstr>
      </vt:variant>
      <vt:variant>
        <vt:i4>1179697</vt:i4>
      </vt:variant>
      <vt:variant>
        <vt:i4>56</vt:i4>
      </vt:variant>
      <vt:variant>
        <vt:i4>0</vt:i4>
      </vt:variant>
      <vt:variant>
        <vt:i4>5</vt:i4>
      </vt:variant>
      <vt:variant>
        <vt:lpwstr/>
      </vt:variant>
      <vt:variant>
        <vt:lpwstr>_Toc65156104</vt:lpwstr>
      </vt:variant>
      <vt:variant>
        <vt:i4>1376305</vt:i4>
      </vt:variant>
      <vt:variant>
        <vt:i4>50</vt:i4>
      </vt:variant>
      <vt:variant>
        <vt:i4>0</vt:i4>
      </vt:variant>
      <vt:variant>
        <vt:i4>5</vt:i4>
      </vt:variant>
      <vt:variant>
        <vt:lpwstr/>
      </vt:variant>
      <vt:variant>
        <vt:lpwstr>_Toc65156103</vt:lpwstr>
      </vt:variant>
      <vt:variant>
        <vt:i4>1310769</vt:i4>
      </vt:variant>
      <vt:variant>
        <vt:i4>44</vt:i4>
      </vt:variant>
      <vt:variant>
        <vt:i4>0</vt:i4>
      </vt:variant>
      <vt:variant>
        <vt:i4>5</vt:i4>
      </vt:variant>
      <vt:variant>
        <vt:lpwstr/>
      </vt:variant>
      <vt:variant>
        <vt:lpwstr>_Toc65156102</vt:lpwstr>
      </vt:variant>
      <vt:variant>
        <vt:i4>1507377</vt:i4>
      </vt:variant>
      <vt:variant>
        <vt:i4>38</vt:i4>
      </vt:variant>
      <vt:variant>
        <vt:i4>0</vt:i4>
      </vt:variant>
      <vt:variant>
        <vt:i4>5</vt:i4>
      </vt:variant>
      <vt:variant>
        <vt:lpwstr/>
      </vt:variant>
      <vt:variant>
        <vt:lpwstr>_Toc65156101</vt:lpwstr>
      </vt:variant>
      <vt:variant>
        <vt:i4>1441841</vt:i4>
      </vt:variant>
      <vt:variant>
        <vt:i4>32</vt:i4>
      </vt:variant>
      <vt:variant>
        <vt:i4>0</vt:i4>
      </vt:variant>
      <vt:variant>
        <vt:i4>5</vt:i4>
      </vt:variant>
      <vt:variant>
        <vt:lpwstr/>
      </vt:variant>
      <vt:variant>
        <vt:lpwstr>_Toc65156100</vt:lpwstr>
      </vt:variant>
      <vt:variant>
        <vt:i4>1966136</vt:i4>
      </vt:variant>
      <vt:variant>
        <vt:i4>26</vt:i4>
      </vt:variant>
      <vt:variant>
        <vt:i4>0</vt:i4>
      </vt:variant>
      <vt:variant>
        <vt:i4>5</vt:i4>
      </vt:variant>
      <vt:variant>
        <vt:lpwstr/>
      </vt:variant>
      <vt:variant>
        <vt:lpwstr>_Toc65156099</vt:lpwstr>
      </vt:variant>
      <vt:variant>
        <vt:i4>2031672</vt:i4>
      </vt:variant>
      <vt:variant>
        <vt:i4>20</vt:i4>
      </vt:variant>
      <vt:variant>
        <vt:i4>0</vt:i4>
      </vt:variant>
      <vt:variant>
        <vt:i4>5</vt:i4>
      </vt:variant>
      <vt:variant>
        <vt:lpwstr/>
      </vt:variant>
      <vt:variant>
        <vt:lpwstr>_Toc65156098</vt:lpwstr>
      </vt:variant>
      <vt:variant>
        <vt:i4>1048632</vt:i4>
      </vt:variant>
      <vt:variant>
        <vt:i4>14</vt:i4>
      </vt:variant>
      <vt:variant>
        <vt:i4>0</vt:i4>
      </vt:variant>
      <vt:variant>
        <vt:i4>5</vt:i4>
      </vt:variant>
      <vt:variant>
        <vt:lpwstr/>
      </vt:variant>
      <vt:variant>
        <vt:lpwstr>_Toc65156097</vt:lpwstr>
      </vt:variant>
      <vt:variant>
        <vt:i4>1114168</vt:i4>
      </vt:variant>
      <vt:variant>
        <vt:i4>8</vt:i4>
      </vt:variant>
      <vt:variant>
        <vt:i4>0</vt:i4>
      </vt:variant>
      <vt:variant>
        <vt:i4>5</vt:i4>
      </vt:variant>
      <vt:variant>
        <vt:lpwstr/>
      </vt:variant>
      <vt:variant>
        <vt:lpwstr>_Toc65156096</vt:lpwstr>
      </vt:variant>
      <vt:variant>
        <vt:i4>1179704</vt:i4>
      </vt:variant>
      <vt:variant>
        <vt:i4>2</vt:i4>
      </vt:variant>
      <vt:variant>
        <vt:i4>0</vt:i4>
      </vt:variant>
      <vt:variant>
        <vt:i4>5</vt:i4>
      </vt:variant>
      <vt:variant>
        <vt:lpwstr/>
      </vt:variant>
      <vt:variant>
        <vt:lpwstr>_Toc65156095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 Lipiarski</dc:creator>
  <cp:keywords/>
  <cp:lastModifiedBy>Whiter, Shaun</cp:lastModifiedBy>
  <cp:revision>5</cp:revision>
  <cp:lastPrinted>2021-09-10T00:33:00Z</cp:lastPrinted>
  <dcterms:created xsi:type="dcterms:W3CDTF">2021-09-14T05:52:00Z</dcterms:created>
  <dcterms:modified xsi:type="dcterms:W3CDTF">2021-09-17T05:47:00Z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0x010100C97B0F9CAC9D8242A80B9B2B38F69D0D</vt:lpwstr>
  </property>
  <property fmtid="{D5CDD505-2E9C-101B-9397-08002B2CF9AE}" pid="3" name="Mendeley Recent Style Id 0_1">
    <vt:lpwstr>http://www.zotero.org/styles/apa</vt:lpwstr>
  </property>
  <property fmtid="{D5CDD505-2E9C-101B-9397-08002B2CF9AE}" pid="4" name="Mendeley Recent Style Name 0_1">
    <vt:lpwstr>American Psychological Association 7th edition</vt:lpwstr>
  </property>
  <property fmtid="{D5CDD505-2E9C-101B-9397-08002B2CF9AE}" pid="5" name="Mendeley Recent Style Id 1_1">
    <vt:lpwstr>http://www.zotero.org/styles/chicago-author-date</vt:lpwstr>
  </property>
  <property fmtid="{D5CDD505-2E9C-101B-9397-08002B2CF9AE}" pid="6" name="Mendeley Recent Style Name 1_1">
    <vt:lpwstr>Chicago Manual of Style 17th edition (author-date)</vt:lpwstr>
  </property>
  <property fmtid="{D5CDD505-2E9C-101B-9397-08002B2CF9AE}" pid="7" name="Mendeley Recent Style Id 2_1">
    <vt:lpwstr>http://www.zotero.org/styles/chicago-fullnote-bibliography</vt:lpwstr>
  </property>
  <property fmtid="{D5CDD505-2E9C-101B-9397-08002B2CF9AE}" pid="8" name="Mendeley Recent Style Name 2_1">
    <vt:lpwstr>Chicago Manual of Style 17th edition (full note)</vt:lpwstr>
  </property>
  <property fmtid="{D5CDD505-2E9C-101B-9397-08002B2CF9AE}" pid="9" name="Mendeley Recent Style Id 3_1">
    <vt:lpwstr>http://www.zotero.org/styles/harvard-cite-them-right</vt:lpwstr>
  </property>
  <property fmtid="{D5CDD505-2E9C-101B-9397-08002B2CF9AE}" pid="10" name="Mendeley Recent Style Name 3_1">
    <vt:lpwstr>Cite Them Right 10th edition - Harvard</vt:lpwstr>
  </property>
  <property fmtid="{D5CDD505-2E9C-101B-9397-08002B2CF9AE}" pid="11" name="Mendeley Recent Style Id 4_1">
    <vt:lpwstr>http://www.zotero.org/styles/ieee</vt:lpwstr>
  </property>
  <property fmtid="{D5CDD505-2E9C-101B-9397-08002B2CF9AE}" pid="12" name="Mendeley Recent Style Name 4_1">
    <vt:lpwstr>IEEE</vt:lpwstr>
  </property>
  <property fmtid="{D5CDD505-2E9C-101B-9397-08002B2CF9AE}" pid="13" name="Mendeley Recent Style Id 5_1">
    <vt:lpwstr>http://www.zotero.org/styles/journal-of-transport-and-health</vt:lpwstr>
  </property>
  <property fmtid="{D5CDD505-2E9C-101B-9397-08002B2CF9AE}" pid="14" name="Mendeley Recent Style Name 5_1">
    <vt:lpwstr>Journal of Transport &amp; Health</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8th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http://www.zotero.org/styles/nurse-education-in-practice</vt:lpwstr>
  </property>
  <property fmtid="{D5CDD505-2E9C-101B-9397-08002B2CF9AE}" pid="22" name="Mendeley Recent Style Name 9_1">
    <vt:lpwstr>Nurse Education in Practice</vt:lpwstr>
  </property>
  <property fmtid="{D5CDD505-2E9C-101B-9397-08002B2CF9AE}" pid="23" name="Mendeley Document_1">
    <vt:lpwstr>True</vt:lpwstr>
  </property>
  <property fmtid="{D5CDD505-2E9C-101B-9397-08002B2CF9AE}" pid="24" name="Mendeley Unique User Id_1">
    <vt:lpwstr>4c4ee0e1-ff04-3cb2-acd1-e4a2f0629947</vt:lpwstr>
  </property>
  <property fmtid="{D5CDD505-2E9C-101B-9397-08002B2CF9AE}" pid="25" name="Mendeley Citation Style_1">
    <vt:lpwstr>http://www.zotero.org/styles/apa</vt:lpwstr>
  </property>
</Properties>
</file>