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71872" w14:textId="2A5B89BF" w:rsidR="00876292" w:rsidRPr="00A5327C" w:rsidRDefault="002B449D" w:rsidP="00A5327C">
      <w:pPr>
        <w:pStyle w:val="Title"/>
        <w:rPr>
          <w:color w:val="00B0F0"/>
        </w:rPr>
      </w:pPr>
      <w:r w:rsidRPr="00A5327C">
        <w:rPr>
          <w:color w:val="00B0F0"/>
        </w:rPr>
        <w:t>F</w:t>
      </w:r>
      <w:r w:rsidR="00895D7D" w:rsidRPr="00A5327C">
        <w:rPr>
          <w:color w:val="00B0F0"/>
        </w:rPr>
        <w:t xml:space="preserve">ACT SHEET: </w:t>
      </w:r>
      <w:r w:rsidR="00E578DF" w:rsidRPr="00A5327C">
        <w:rPr>
          <w:color w:val="00B0F0"/>
        </w:rPr>
        <w:t>Stocktake of primary prevention initiatives in sexual violence and sexual harassment</w:t>
      </w:r>
    </w:p>
    <w:p w14:paraId="0B22AB14" w14:textId="77777777" w:rsidR="00231F4D" w:rsidRDefault="00231F4D" w:rsidP="007D717C">
      <w:pPr>
        <w:rPr>
          <w:lang w:val="en-AU"/>
        </w:rPr>
      </w:pPr>
    </w:p>
    <w:p w14:paraId="69A48DCC" w14:textId="4C09C3F4" w:rsidR="0061371F" w:rsidRPr="00A5327C" w:rsidRDefault="00E73EBE" w:rsidP="00A5327C">
      <w:pPr>
        <w:pStyle w:val="Heading1"/>
        <w:rPr>
          <w:color w:val="auto"/>
          <w:lang w:val="en-AU"/>
        </w:rPr>
      </w:pPr>
      <w:r w:rsidRPr="00A5327C">
        <w:rPr>
          <w:color w:val="auto"/>
          <w:lang w:val="en-AU"/>
        </w:rPr>
        <w:t>Sexual violence and sexual harassment have devastating effects on individuals, families, and communities. A mature system of primary prevention can help stop violence before it occurs. Everyone has a role to play.</w:t>
      </w:r>
    </w:p>
    <w:p w14:paraId="2DAF4F7E" w14:textId="77777777" w:rsidR="00231F4D" w:rsidRPr="0061371F" w:rsidRDefault="00231F4D" w:rsidP="007D717C">
      <w:pPr>
        <w:rPr>
          <w:lang w:val="en-AU"/>
        </w:rPr>
      </w:pPr>
    </w:p>
    <w:p w14:paraId="0248C537" w14:textId="2D31C6CE" w:rsidR="007D717C" w:rsidRPr="007D717C" w:rsidRDefault="007D717C" w:rsidP="007D717C">
      <w:pPr>
        <w:rPr>
          <w:b/>
          <w:bCs/>
          <w:lang w:val="en-AU"/>
        </w:rPr>
      </w:pPr>
      <w:r w:rsidRPr="007D717C">
        <w:rPr>
          <w:b/>
          <w:bCs/>
          <w:lang w:val="en-AU"/>
        </w:rPr>
        <w:t>The Fourth Action Plan</w:t>
      </w:r>
    </w:p>
    <w:p w14:paraId="3CC26E3A" w14:textId="77777777" w:rsidR="007D717C" w:rsidRPr="007D717C" w:rsidRDefault="007D717C" w:rsidP="007D717C">
      <w:pPr>
        <w:rPr>
          <w:lang w:val="en-AU"/>
        </w:rPr>
      </w:pPr>
      <w:r w:rsidRPr="007D717C">
        <w:rPr>
          <w:lang w:val="en-AU"/>
        </w:rPr>
        <w:t>The Fourth Action Plan of the National Plan to Reduce Violence against Women and their Children 2010-2022 makes clear that stopping sexual violence and sexual harassment before it occurs is a priority. Primary prevention has a key role to play in achieving this goal.</w:t>
      </w:r>
    </w:p>
    <w:p w14:paraId="0A0B771A" w14:textId="76F8E028" w:rsidR="007D717C" w:rsidRPr="007D717C" w:rsidRDefault="007D717C" w:rsidP="007D717C">
      <w:pPr>
        <w:rPr>
          <w:lang w:val="en-AU"/>
        </w:rPr>
      </w:pPr>
      <w:r w:rsidRPr="007D717C">
        <w:rPr>
          <w:lang w:val="en-AU"/>
        </w:rPr>
        <w:t>Primary prevention requires changing attitudes, behaviours and accepted systems that excuse, justify or encourage sexual violence and sexual harassment. It means creating change at the individual, interpersonal, community and societal levels to promote greater equality.</w:t>
      </w:r>
    </w:p>
    <w:p w14:paraId="74E4C442" w14:textId="77777777" w:rsidR="007D717C" w:rsidRPr="007D717C" w:rsidRDefault="007D717C" w:rsidP="007D717C">
      <w:pPr>
        <w:rPr>
          <w:lang w:val="en-AU"/>
        </w:rPr>
      </w:pPr>
      <w:r w:rsidRPr="007D717C">
        <w:rPr>
          <w:lang w:val="en-AU"/>
        </w:rPr>
        <w:t>Supporting the continued growth of primary prevention initiatives across Australia will be key to meeting the goals of the Fourth Action Plan and securing the safety and wellbeing of the community. </w:t>
      </w:r>
    </w:p>
    <w:p w14:paraId="074A1170" w14:textId="77777777" w:rsidR="007D717C" w:rsidRPr="007D717C" w:rsidRDefault="007D717C" w:rsidP="007D717C">
      <w:pPr>
        <w:rPr>
          <w:b/>
          <w:bCs/>
          <w:lang w:val="en-AU"/>
        </w:rPr>
      </w:pPr>
      <w:r w:rsidRPr="007D717C">
        <w:rPr>
          <w:b/>
          <w:bCs/>
          <w:lang w:val="en-AU"/>
        </w:rPr>
        <w:t>Primary prevention in Australia</w:t>
      </w:r>
    </w:p>
    <w:p w14:paraId="3F8BBA19" w14:textId="22A37529" w:rsidR="007D717C" w:rsidRPr="007D717C" w:rsidRDefault="007D717C" w:rsidP="007D717C">
      <w:pPr>
        <w:rPr>
          <w:lang w:val="en-AU"/>
        </w:rPr>
      </w:pPr>
      <w:r w:rsidRPr="007D717C">
        <w:rPr>
          <w:lang w:val="en-AU"/>
        </w:rPr>
        <w:t xml:space="preserve">Across Australia, governments and specialist service providers are delivering innovative and powerful initiatives aimed at preventing sexual violence and sexual harassment. Over 300 initiatives are currently being delivered today. They range from awareness </w:t>
      </w:r>
      <w:r w:rsidRPr="007D717C">
        <w:rPr>
          <w:lang w:val="en-AU"/>
        </w:rPr>
        <w:br/>
        <w:t>raising campaigns, education and upskilling, to policies and research. </w:t>
      </w:r>
    </w:p>
    <w:p w14:paraId="03173C0B" w14:textId="77777777" w:rsidR="001B46CB" w:rsidRDefault="007D717C" w:rsidP="00344973">
      <w:pPr>
        <w:rPr>
          <w:lang w:val="en-AU"/>
        </w:rPr>
      </w:pPr>
      <w:r w:rsidRPr="6B49347C">
        <w:rPr>
          <w:lang w:val="en-AU"/>
        </w:rPr>
        <w:t xml:space="preserve">While significant work is being done in this emerging sector, </w:t>
      </w:r>
      <w:r w:rsidR="5DAE5813" w:rsidRPr="6B49347C">
        <w:rPr>
          <w:lang w:val="en-AU"/>
        </w:rPr>
        <w:t xml:space="preserve">addressing </w:t>
      </w:r>
      <w:r w:rsidRPr="6B49347C">
        <w:rPr>
          <w:lang w:val="en-AU"/>
        </w:rPr>
        <w:t xml:space="preserve">key gaps </w:t>
      </w:r>
      <w:r w:rsidR="4BC77ACF" w:rsidRPr="6B49347C">
        <w:rPr>
          <w:lang w:val="en-AU"/>
        </w:rPr>
        <w:t>will</w:t>
      </w:r>
      <w:r w:rsidRPr="6B49347C">
        <w:rPr>
          <w:lang w:val="en-AU"/>
        </w:rPr>
        <w:t xml:space="preserve"> further strengthen the impact of primary prevention. </w:t>
      </w:r>
    </w:p>
    <w:p w14:paraId="5B531E8B" w14:textId="2D673535" w:rsidR="00344973" w:rsidRPr="00344973" w:rsidRDefault="00344973" w:rsidP="00344973">
      <w:pPr>
        <w:rPr>
          <w:b/>
          <w:bCs/>
          <w:lang w:val="en-AU"/>
        </w:rPr>
      </w:pPr>
      <w:r>
        <w:rPr>
          <w:lang w:val="en-AU"/>
        </w:rPr>
        <w:t>S</w:t>
      </w:r>
      <w:r w:rsidRPr="00344973">
        <w:rPr>
          <w:b/>
          <w:bCs/>
          <w:lang w:val="en-AU"/>
        </w:rPr>
        <w:t>tocktake of primary prevention initiatives</w:t>
      </w:r>
    </w:p>
    <w:p w14:paraId="1EC79563" w14:textId="6CF6E6EA" w:rsidR="00344973" w:rsidRPr="00344973" w:rsidRDefault="02557209" w:rsidP="00344973">
      <w:pPr>
        <w:rPr>
          <w:lang w:val="en-AU"/>
        </w:rPr>
      </w:pPr>
      <w:r w:rsidRPr="6B49347C">
        <w:rPr>
          <w:lang w:val="en-AU"/>
        </w:rPr>
        <w:t>A</w:t>
      </w:r>
      <w:r w:rsidR="00344973" w:rsidRPr="00344973">
        <w:rPr>
          <w:lang w:val="en-AU"/>
        </w:rPr>
        <w:t xml:space="preserve"> stocktake </w:t>
      </w:r>
      <w:r w:rsidR="207A74C4" w:rsidRPr="6B49347C">
        <w:rPr>
          <w:lang w:val="en-AU"/>
        </w:rPr>
        <w:t>of primary prevention initiatives was undertaken in 2020</w:t>
      </w:r>
      <w:r w:rsidR="00344973" w:rsidRPr="00344973">
        <w:rPr>
          <w:lang w:val="en-AU"/>
        </w:rPr>
        <w:t xml:space="preserve"> based on significant research.</w:t>
      </w:r>
    </w:p>
    <w:p w14:paraId="69BAB71A" w14:textId="77777777" w:rsidR="00344973" w:rsidRPr="00344973" w:rsidRDefault="00344973" w:rsidP="00344973">
      <w:pPr>
        <w:rPr>
          <w:lang w:val="en-AU"/>
        </w:rPr>
      </w:pPr>
      <w:r w:rsidRPr="00344973">
        <w:rPr>
          <w:lang w:val="en-AU"/>
        </w:rPr>
        <w:t>The research included:</w:t>
      </w:r>
    </w:p>
    <w:p w14:paraId="3B0F4CDE" w14:textId="4EBCBC7F" w:rsidR="00344973" w:rsidRPr="00344973" w:rsidRDefault="00C93F4C" w:rsidP="00344973">
      <w:pPr>
        <w:numPr>
          <w:ilvl w:val="0"/>
          <w:numId w:val="2"/>
        </w:numPr>
        <w:ind w:left="714" w:hanging="357"/>
        <w:rPr>
          <w:lang w:val="en-AU"/>
        </w:rPr>
      </w:pPr>
      <w:r>
        <w:rPr>
          <w:lang w:val="en-AU"/>
        </w:rPr>
        <w:t>51</w:t>
      </w:r>
      <w:r w:rsidR="00344973" w:rsidRPr="00344973">
        <w:rPr>
          <w:lang w:val="en-AU"/>
        </w:rPr>
        <w:t xml:space="preserve"> consultations with the sector including government and specialist non-government providers</w:t>
      </w:r>
    </w:p>
    <w:p w14:paraId="5504B41E" w14:textId="77777777" w:rsidR="00344973" w:rsidRPr="00344973" w:rsidRDefault="00344973" w:rsidP="00344973">
      <w:pPr>
        <w:numPr>
          <w:ilvl w:val="0"/>
          <w:numId w:val="2"/>
        </w:numPr>
        <w:ind w:left="714" w:hanging="357"/>
        <w:rPr>
          <w:lang w:val="en-AU"/>
        </w:rPr>
      </w:pPr>
      <w:r w:rsidRPr="00344973">
        <w:rPr>
          <w:lang w:val="en-AU"/>
        </w:rPr>
        <w:lastRenderedPageBreak/>
        <w:t>A survey of primary prevention initiatives which included responses from 86 organisations about 166 initiatives occurring in various states and territories</w:t>
      </w:r>
    </w:p>
    <w:p w14:paraId="307ECA13" w14:textId="6993C03F" w:rsidR="00344973" w:rsidRPr="00344973" w:rsidRDefault="00344973" w:rsidP="00344973">
      <w:pPr>
        <w:numPr>
          <w:ilvl w:val="0"/>
          <w:numId w:val="2"/>
        </w:numPr>
        <w:ind w:left="714" w:hanging="357"/>
        <w:rPr>
          <w:lang w:val="en-AU"/>
        </w:rPr>
      </w:pPr>
      <w:r w:rsidRPr="00344973">
        <w:rPr>
          <w:lang w:val="en-AU"/>
        </w:rPr>
        <w:t>A literature review of best practice and existing evaluations</w:t>
      </w:r>
      <w:r w:rsidR="740BBB25" w:rsidRPr="6B49347C">
        <w:rPr>
          <w:lang w:val="en-AU"/>
        </w:rPr>
        <w:t>.</w:t>
      </w:r>
    </w:p>
    <w:p w14:paraId="6A7141CE" w14:textId="50D849B0" w:rsidR="740BBB25" w:rsidRDefault="740BBB25" w:rsidP="6B49347C">
      <w:pPr>
        <w:rPr>
          <w:lang w:val="en-AU"/>
        </w:rPr>
      </w:pPr>
      <w:r w:rsidRPr="6B49347C">
        <w:rPr>
          <w:lang w:val="en-AU"/>
        </w:rPr>
        <w:t>Each initiative was mapped against the five considerations:</w:t>
      </w:r>
    </w:p>
    <w:p w14:paraId="564D7FC0" w14:textId="2896132B" w:rsidR="740BBB25" w:rsidRDefault="740BBB25" w:rsidP="6B49347C">
      <w:pPr>
        <w:numPr>
          <w:ilvl w:val="0"/>
          <w:numId w:val="1"/>
        </w:numPr>
        <w:rPr>
          <w:lang w:val="en-AU"/>
        </w:rPr>
      </w:pPr>
      <w:r w:rsidRPr="6B49347C">
        <w:rPr>
          <w:lang w:val="en-AU"/>
        </w:rPr>
        <w:t>Addressing the drivers of sexual violence and sexual harassment</w:t>
      </w:r>
    </w:p>
    <w:p w14:paraId="798D7086" w14:textId="25A9EABD" w:rsidR="740BBB25" w:rsidRDefault="740BBB25" w:rsidP="6B49347C">
      <w:pPr>
        <w:numPr>
          <w:ilvl w:val="0"/>
          <w:numId w:val="1"/>
        </w:numPr>
        <w:rPr>
          <w:lang w:val="en-AU"/>
        </w:rPr>
      </w:pPr>
      <w:r w:rsidRPr="6B49347C">
        <w:rPr>
          <w:lang w:val="en-AU"/>
        </w:rPr>
        <w:t>Enhancing coverage of primary prevention initiatives</w:t>
      </w:r>
    </w:p>
    <w:p w14:paraId="6C33DE61" w14:textId="319B7616" w:rsidR="740BBB25" w:rsidRDefault="740BBB25" w:rsidP="6B49347C">
      <w:pPr>
        <w:numPr>
          <w:ilvl w:val="0"/>
          <w:numId w:val="1"/>
        </w:numPr>
        <w:rPr>
          <w:lang w:val="en-AU"/>
        </w:rPr>
      </w:pPr>
      <w:r w:rsidRPr="6B49347C">
        <w:rPr>
          <w:lang w:val="en-AU"/>
        </w:rPr>
        <w:t>Improving the approaches delivered</w:t>
      </w:r>
    </w:p>
    <w:p w14:paraId="29CADD6B" w14:textId="263C0CE6" w:rsidR="740BBB25" w:rsidRDefault="740BBB25" w:rsidP="6B49347C">
      <w:pPr>
        <w:numPr>
          <w:ilvl w:val="0"/>
          <w:numId w:val="1"/>
        </w:numPr>
        <w:rPr>
          <w:lang w:val="en-AU"/>
        </w:rPr>
      </w:pPr>
      <w:r w:rsidRPr="6B49347C">
        <w:rPr>
          <w:lang w:val="en-AU"/>
        </w:rPr>
        <w:t>Growing maturity of the sector through evidence</w:t>
      </w:r>
    </w:p>
    <w:p w14:paraId="77A18BE6" w14:textId="57059C83" w:rsidR="740BBB25" w:rsidRDefault="740BBB25" w:rsidP="6B49347C">
      <w:pPr>
        <w:numPr>
          <w:ilvl w:val="0"/>
          <w:numId w:val="1"/>
        </w:numPr>
        <w:rPr>
          <w:lang w:val="en-AU"/>
        </w:rPr>
      </w:pPr>
      <w:r w:rsidRPr="6B49347C">
        <w:rPr>
          <w:lang w:val="en-AU"/>
        </w:rPr>
        <w:t>Supportive funding that enables outcomes</w:t>
      </w:r>
      <w:r w:rsidR="005D4C21">
        <w:rPr>
          <w:lang w:val="en-AU"/>
        </w:rPr>
        <w:t>.</w:t>
      </w:r>
    </w:p>
    <w:p w14:paraId="1ADB3856" w14:textId="62870779" w:rsidR="6B49347C" w:rsidRDefault="6B49347C" w:rsidP="0035587B">
      <w:pPr>
        <w:rPr>
          <w:b/>
          <w:bCs/>
          <w:lang w:val="en-AU"/>
        </w:rPr>
      </w:pPr>
    </w:p>
    <w:p w14:paraId="6C9BEAE5" w14:textId="67BB4740" w:rsidR="00E73EBE" w:rsidRDefault="0061371F" w:rsidP="00E73EBE">
      <w:pPr>
        <w:rPr>
          <w:b/>
          <w:bCs/>
          <w:lang w:val="en-AU"/>
        </w:rPr>
      </w:pPr>
      <w:r>
        <w:rPr>
          <w:b/>
          <w:bCs/>
          <w:lang w:val="en-AU"/>
        </w:rPr>
        <w:br w:type="page"/>
      </w:r>
    </w:p>
    <w:p w14:paraId="371FC772" w14:textId="660C675F" w:rsidR="00E73EBE" w:rsidRPr="004F3474" w:rsidRDefault="00C23083" w:rsidP="00E73EBE">
      <w:pPr>
        <w:rPr>
          <w:b/>
          <w:bCs/>
          <w:sz w:val="32"/>
          <w:szCs w:val="32"/>
          <w:lang w:val="en-AU"/>
        </w:rPr>
      </w:pPr>
      <w:r w:rsidRPr="004F3474">
        <w:rPr>
          <w:b/>
          <w:bCs/>
          <w:sz w:val="32"/>
          <w:szCs w:val="32"/>
          <w:lang w:val="en-AU"/>
        </w:rPr>
        <w:lastRenderedPageBreak/>
        <w:t>Addressing the drivers</w:t>
      </w:r>
    </w:p>
    <w:p w14:paraId="04E68315" w14:textId="536F70BC" w:rsidR="00C23083" w:rsidRPr="00E73EBE" w:rsidRDefault="003533C6" w:rsidP="00E73EBE">
      <w:pPr>
        <w:rPr>
          <w:lang w:val="en-AU"/>
        </w:rPr>
      </w:pPr>
      <w:r w:rsidRPr="6B49347C">
        <w:rPr>
          <w:lang w:val="en-AU"/>
        </w:rPr>
        <w:t>Th</w:t>
      </w:r>
      <w:r w:rsidR="0246BFC5" w:rsidRPr="6B49347C">
        <w:rPr>
          <w:lang w:val="en-AU"/>
        </w:rPr>
        <w:t xml:space="preserve">is </w:t>
      </w:r>
      <w:r w:rsidR="04F8C469" w:rsidRPr="6B49347C">
        <w:rPr>
          <w:lang w:val="en-AU"/>
        </w:rPr>
        <w:t xml:space="preserve">issue </w:t>
      </w:r>
      <w:r w:rsidR="0246BFC5" w:rsidRPr="6B49347C">
        <w:rPr>
          <w:lang w:val="en-AU"/>
        </w:rPr>
        <w:t xml:space="preserve">considers </w:t>
      </w:r>
      <w:r w:rsidR="7546BBCE" w:rsidRPr="6B49347C">
        <w:rPr>
          <w:lang w:val="en-AU"/>
        </w:rPr>
        <w:t>the</w:t>
      </w:r>
      <w:r>
        <w:rPr>
          <w:lang w:val="en-AU"/>
        </w:rPr>
        <w:t xml:space="preserve"> extent that primary prevention initiatives recognise and address the drivers of sexual violence and sexual harassment</w:t>
      </w:r>
      <w:r w:rsidR="00B81567">
        <w:rPr>
          <w:lang w:val="en-AU"/>
        </w:rPr>
        <w:t>.</w:t>
      </w:r>
    </w:p>
    <w:p w14:paraId="04A33139" w14:textId="77777777" w:rsidR="004F3474" w:rsidRPr="004F3474" w:rsidRDefault="004F3474" w:rsidP="004F3474">
      <w:pPr>
        <w:rPr>
          <w:lang w:val="en-AU"/>
        </w:rPr>
      </w:pPr>
      <w:r w:rsidRPr="004F3474">
        <w:rPr>
          <w:b/>
          <w:bCs/>
          <w:lang w:val="en-AU"/>
        </w:rPr>
        <w:t xml:space="preserve">Primary prevention in sexual violence and sexual harassment does not always receive targeted focus: </w:t>
      </w:r>
    </w:p>
    <w:p w14:paraId="03A40711" w14:textId="7BFC8FB6" w:rsidR="004F3474" w:rsidRPr="004F3474" w:rsidRDefault="004F3474" w:rsidP="004F3474">
      <w:pPr>
        <w:rPr>
          <w:lang w:val="en-AU"/>
        </w:rPr>
      </w:pPr>
      <w:r w:rsidRPr="004F3474">
        <w:rPr>
          <w:lang w:val="en-AU"/>
        </w:rPr>
        <w:t>It is often combined with prevention in domestic and family violence or delivered through tertiary responses. Questionnaire results showed that out of 315 initiatives, 47 initiatives were specific to sexual violence (</w:t>
      </w:r>
      <w:r w:rsidR="00F30894">
        <w:rPr>
          <w:lang w:val="en-AU"/>
        </w:rPr>
        <w:t>Table</w:t>
      </w:r>
      <w:r w:rsidRPr="004F3474">
        <w:rPr>
          <w:lang w:val="en-AU"/>
        </w:rPr>
        <w:t xml:space="preserve"> 1). The unique drivers of sexual violence and sexual harassment risk going unaddressed if not specifically targeted.</w:t>
      </w:r>
    </w:p>
    <w:p w14:paraId="3704A1CE" w14:textId="778BCB8D" w:rsidR="00876292" w:rsidRPr="0059187A" w:rsidRDefault="004F3474">
      <w:pPr>
        <w:rPr>
          <w:lang w:val="en-AU"/>
        </w:rPr>
      </w:pPr>
      <w:r>
        <w:rPr>
          <w:b/>
          <w:bCs/>
        </w:rPr>
        <w:t>Table</w:t>
      </w:r>
      <w:r w:rsidRPr="004F3474">
        <w:rPr>
          <w:b/>
          <w:bCs/>
        </w:rPr>
        <w:t xml:space="preserve"> 1: </w:t>
      </w:r>
      <w:r w:rsidR="0059187A">
        <w:t>Issues addressed by initiatives-o</w:t>
      </w:r>
      <w:r w:rsidRPr="004F3474">
        <w:t>verlap of initiatives with domestic and family violence</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417"/>
      </w:tblGrid>
      <w:tr w:rsidR="007F3467" w:rsidRPr="00A34100" w14:paraId="64266B00" w14:textId="77777777" w:rsidTr="00E428DD">
        <w:trPr>
          <w:trHeight w:val="347"/>
        </w:trPr>
        <w:tc>
          <w:tcPr>
            <w:tcW w:w="4957" w:type="dxa"/>
            <w:tcBorders>
              <w:top w:val="single" w:sz="24" w:space="0" w:color="00B0F0"/>
              <w:left w:val="single" w:sz="12" w:space="0" w:color="D0CECE" w:themeColor="background2" w:themeShade="E6"/>
              <w:bottom w:val="single" w:sz="24" w:space="0" w:color="00B0F0"/>
              <w:right w:val="single" w:sz="12" w:space="0" w:color="D0CECE" w:themeColor="background2" w:themeShade="E6"/>
            </w:tcBorders>
          </w:tcPr>
          <w:p w14:paraId="7B36BC32" w14:textId="0C3ACFA7" w:rsidR="007F3467" w:rsidRPr="00A34100" w:rsidRDefault="0055033A">
            <w:pPr>
              <w:rPr>
                <w:b/>
                <w:bCs/>
              </w:rPr>
            </w:pPr>
            <w:r w:rsidRPr="00A34100">
              <w:rPr>
                <w:b/>
                <w:bCs/>
              </w:rPr>
              <w:t>Issues addressed</w:t>
            </w:r>
          </w:p>
        </w:tc>
        <w:tc>
          <w:tcPr>
            <w:tcW w:w="4417" w:type="dxa"/>
            <w:tcBorders>
              <w:top w:val="single" w:sz="24" w:space="0" w:color="00B0F0"/>
              <w:left w:val="single" w:sz="12" w:space="0" w:color="D0CECE" w:themeColor="background2" w:themeShade="E6"/>
              <w:bottom w:val="single" w:sz="24" w:space="0" w:color="00B0F0"/>
              <w:right w:val="single" w:sz="12" w:space="0" w:color="D0CECE" w:themeColor="background2" w:themeShade="E6"/>
            </w:tcBorders>
          </w:tcPr>
          <w:p w14:paraId="7DDEB72E" w14:textId="65B4812B" w:rsidR="007F3467" w:rsidRPr="00A34100" w:rsidRDefault="0055033A">
            <w:pPr>
              <w:rPr>
                <w:b/>
                <w:bCs/>
              </w:rPr>
            </w:pPr>
            <w:r w:rsidRPr="00A34100">
              <w:rPr>
                <w:b/>
                <w:bCs/>
              </w:rPr>
              <w:t>Numbers of initiatives</w:t>
            </w:r>
          </w:p>
        </w:tc>
      </w:tr>
      <w:tr w:rsidR="007F3467" w:rsidRPr="00A34100" w14:paraId="221EB313" w14:textId="77777777" w:rsidTr="00E428DD">
        <w:trPr>
          <w:trHeight w:val="347"/>
        </w:trPr>
        <w:tc>
          <w:tcPr>
            <w:tcW w:w="4957" w:type="dxa"/>
            <w:tcBorders>
              <w:top w:val="single" w:sz="24" w:space="0" w:color="00B0F0"/>
              <w:left w:val="single" w:sz="12" w:space="0" w:color="D0CECE" w:themeColor="background2" w:themeShade="E6"/>
              <w:bottom w:val="single" w:sz="12" w:space="0" w:color="D0CECE" w:themeColor="background2" w:themeShade="E6"/>
              <w:right w:val="single" w:sz="12" w:space="0" w:color="D0CECE" w:themeColor="background2" w:themeShade="E6"/>
            </w:tcBorders>
          </w:tcPr>
          <w:p w14:paraId="30E3D29E" w14:textId="49823915" w:rsidR="007F3467" w:rsidRPr="00A34100" w:rsidRDefault="00ED6D90">
            <w:r w:rsidRPr="00A34100">
              <w:t>Only s</w:t>
            </w:r>
            <w:r w:rsidR="00A02A7B" w:rsidRPr="00A34100">
              <w:t>exual</w:t>
            </w:r>
            <w:r w:rsidR="007F3467" w:rsidRPr="00A34100">
              <w:t xml:space="preserve"> violence</w:t>
            </w:r>
          </w:p>
        </w:tc>
        <w:tc>
          <w:tcPr>
            <w:tcW w:w="4417" w:type="dxa"/>
            <w:tcBorders>
              <w:top w:val="single" w:sz="24" w:space="0" w:color="00B0F0"/>
              <w:left w:val="single" w:sz="12" w:space="0" w:color="D0CECE" w:themeColor="background2" w:themeShade="E6"/>
              <w:bottom w:val="single" w:sz="12" w:space="0" w:color="D0CECE" w:themeColor="background2" w:themeShade="E6"/>
              <w:right w:val="single" w:sz="12" w:space="0" w:color="D0CECE" w:themeColor="background2" w:themeShade="E6"/>
            </w:tcBorders>
          </w:tcPr>
          <w:p w14:paraId="2F13B54A" w14:textId="4DCB8788" w:rsidR="007F3467" w:rsidRPr="00A34100" w:rsidRDefault="002F4EFF">
            <w:r>
              <w:t>47</w:t>
            </w:r>
          </w:p>
        </w:tc>
      </w:tr>
      <w:tr w:rsidR="007F3467" w:rsidRPr="00A34100" w14:paraId="5E77DFDD" w14:textId="77777777" w:rsidTr="00E428DD">
        <w:trPr>
          <w:trHeight w:val="363"/>
        </w:trPr>
        <w:tc>
          <w:tcPr>
            <w:tcW w:w="4957" w:type="dxa"/>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tcPr>
          <w:p w14:paraId="0EC8958E" w14:textId="35601197" w:rsidR="007F3467" w:rsidRPr="00A34100" w:rsidRDefault="00ED6D90">
            <w:r w:rsidRPr="00A34100">
              <w:t>Only s</w:t>
            </w:r>
            <w:r w:rsidR="007F3467" w:rsidRPr="00A34100">
              <w:t xml:space="preserve">exual </w:t>
            </w:r>
            <w:r w:rsidR="00A02A7B" w:rsidRPr="00A34100">
              <w:t>harassment</w:t>
            </w:r>
          </w:p>
        </w:tc>
        <w:tc>
          <w:tcPr>
            <w:tcW w:w="4417" w:type="dxa"/>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tcPr>
          <w:p w14:paraId="401E1E29" w14:textId="6D7CC78A" w:rsidR="007F3467" w:rsidRPr="00A34100" w:rsidRDefault="00DA2522">
            <w:r>
              <w:t>1</w:t>
            </w:r>
            <w:r w:rsidR="002F4EFF">
              <w:t>6</w:t>
            </w:r>
          </w:p>
        </w:tc>
      </w:tr>
      <w:tr w:rsidR="007F3467" w:rsidRPr="00A34100" w14:paraId="59CB3617" w14:textId="77777777" w:rsidTr="00E428DD">
        <w:trPr>
          <w:trHeight w:val="347"/>
        </w:trPr>
        <w:tc>
          <w:tcPr>
            <w:tcW w:w="4957" w:type="dxa"/>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tcPr>
          <w:p w14:paraId="37D3FA60" w14:textId="6912E743" w:rsidR="007F3467" w:rsidRPr="00A34100" w:rsidRDefault="00ED6D90">
            <w:r w:rsidRPr="00A34100">
              <w:t>Only d</w:t>
            </w:r>
            <w:r w:rsidR="00A02A7B" w:rsidRPr="00A34100">
              <w:t>omestic and family violence</w:t>
            </w:r>
          </w:p>
        </w:tc>
        <w:tc>
          <w:tcPr>
            <w:tcW w:w="4417" w:type="dxa"/>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tcPr>
          <w:p w14:paraId="5A390D97" w14:textId="35276ED0" w:rsidR="007F3467" w:rsidRPr="00A34100" w:rsidRDefault="002F4EFF">
            <w:r>
              <w:t>41</w:t>
            </w:r>
          </w:p>
        </w:tc>
      </w:tr>
      <w:tr w:rsidR="007F3467" w:rsidRPr="00A34100" w14:paraId="34C85491" w14:textId="77777777" w:rsidTr="00E428DD">
        <w:trPr>
          <w:trHeight w:val="347"/>
        </w:trPr>
        <w:tc>
          <w:tcPr>
            <w:tcW w:w="4957" w:type="dxa"/>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tcPr>
          <w:p w14:paraId="63E70132" w14:textId="36C5B2FA" w:rsidR="007F3467" w:rsidRPr="00A34100" w:rsidRDefault="00ED6D90" w:rsidP="00A02A7B">
            <w:r w:rsidRPr="00A34100">
              <w:t>Both s</w:t>
            </w:r>
            <w:r w:rsidR="0059187A" w:rsidRPr="00A34100">
              <w:t>exual violence and sexual harassment</w:t>
            </w:r>
          </w:p>
        </w:tc>
        <w:tc>
          <w:tcPr>
            <w:tcW w:w="4417" w:type="dxa"/>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tcPr>
          <w:p w14:paraId="3025CA22" w14:textId="6231AA92" w:rsidR="007F3467" w:rsidRPr="00A34100" w:rsidRDefault="00F60A2E" w:rsidP="00A02A7B">
            <w:r>
              <w:t>20</w:t>
            </w:r>
          </w:p>
        </w:tc>
      </w:tr>
      <w:tr w:rsidR="00A02A7B" w:rsidRPr="00A34100" w14:paraId="27F295CC" w14:textId="77777777" w:rsidTr="00E428DD">
        <w:trPr>
          <w:trHeight w:val="711"/>
        </w:trPr>
        <w:tc>
          <w:tcPr>
            <w:tcW w:w="4957" w:type="dxa"/>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tcPr>
          <w:p w14:paraId="5D6367BD" w14:textId="2A6B237D" w:rsidR="00A02A7B" w:rsidRPr="00A34100" w:rsidRDefault="00ED6D90" w:rsidP="00A02A7B">
            <w:r w:rsidRPr="00A34100">
              <w:t>Both s</w:t>
            </w:r>
            <w:r w:rsidR="0059187A" w:rsidRPr="00A34100">
              <w:t>exual violence and domestic and family violence</w:t>
            </w:r>
          </w:p>
        </w:tc>
        <w:tc>
          <w:tcPr>
            <w:tcW w:w="4417" w:type="dxa"/>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tcPr>
          <w:p w14:paraId="498FAD27" w14:textId="36345A80" w:rsidR="00A02A7B" w:rsidRPr="00A34100" w:rsidRDefault="0000641A" w:rsidP="00A02A7B">
            <w:r>
              <w:t>118</w:t>
            </w:r>
          </w:p>
        </w:tc>
      </w:tr>
      <w:tr w:rsidR="007F3467" w:rsidRPr="00A34100" w14:paraId="20BDB993" w14:textId="77777777" w:rsidTr="00E428DD">
        <w:trPr>
          <w:trHeight w:val="711"/>
        </w:trPr>
        <w:tc>
          <w:tcPr>
            <w:tcW w:w="4957" w:type="dxa"/>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tcPr>
          <w:p w14:paraId="04610CD4" w14:textId="5F075B57" w:rsidR="007F3467" w:rsidRPr="00A34100" w:rsidRDefault="00ED6D90" w:rsidP="00A02A7B">
            <w:r w:rsidRPr="00A34100">
              <w:t>Both s</w:t>
            </w:r>
            <w:r w:rsidR="0059187A" w:rsidRPr="00A34100">
              <w:t>exual harassment and domestic and family violence</w:t>
            </w:r>
          </w:p>
        </w:tc>
        <w:tc>
          <w:tcPr>
            <w:tcW w:w="4417" w:type="dxa"/>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tcPr>
          <w:p w14:paraId="1A35E5CD" w14:textId="47C95022" w:rsidR="007F3467" w:rsidRPr="00A34100" w:rsidRDefault="00641611" w:rsidP="00A02A7B">
            <w:r>
              <w:t>0</w:t>
            </w:r>
          </w:p>
        </w:tc>
      </w:tr>
      <w:tr w:rsidR="0059187A" w14:paraId="5413083B" w14:textId="77777777" w:rsidTr="00E428DD">
        <w:trPr>
          <w:trHeight w:val="695"/>
        </w:trPr>
        <w:tc>
          <w:tcPr>
            <w:tcW w:w="4957" w:type="dxa"/>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tcPr>
          <w:p w14:paraId="565225C6" w14:textId="4B64E380" w:rsidR="0059187A" w:rsidRPr="00A34100" w:rsidRDefault="0055033A" w:rsidP="00A02A7B">
            <w:r w:rsidRPr="00A34100">
              <w:t>Both s</w:t>
            </w:r>
            <w:r w:rsidR="0059187A" w:rsidRPr="00A34100">
              <w:t>exual violence, sexual harassment and domestic and family violence</w:t>
            </w:r>
          </w:p>
        </w:tc>
        <w:tc>
          <w:tcPr>
            <w:tcW w:w="4417" w:type="dxa"/>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tcPr>
          <w:p w14:paraId="288010D8" w14:textId="7AFF7087" w:rsidR="0059187A" w:rsidRDefault="00641611" w:rsidP="00A02A7B">
            <w:r>
              <w:t>33</w:t>
            </w:r>
          </w:p>
        </w:tc>
      </w:tr>
    </w:tbl>
    <w:p w14:paraId="6DF9AF57" w14:textId="77777777" w:rsidR="00216D1E" w:rsidRDefault="00216D1E" w:rsidP="00AB242A">
      <w:r w:rsidRPr="00216D1E">
        <w:t>Source: N=313 Deloitte questionnaire, 2020. Note: Only 275 respondents reported addressing the issues of ‘sexual violence’, ‘sexual harassment’, ‘domestic and family violence’ or a combination of the three; the remaining respondents only reported addressing gender inequality, or human rights more broadly.</w:t>
      </w:r>
    </w:p>
    <w:p w14:paraId="01A32899" w14:textId="139248A5" w:rsidR="00AB242A" w:rsidRPr="00AB242A" w:rsidRDefault="00AB242A" w:rsidP="00AB242A">
      <w:pPr>
        <w:rPr>
          <w:lang w:val="en-AU"/>
        </w:rPr>
      </w:pPr>
      <w:r w:rsidRPr="00AB242A">
        <w:rPr>
          <w:b/>
          <w:bCs/>
          <w:lang w:val="en-AU"/>
        </w:rPr>
        <w:t xml:space="preserve">Primary prevention needs an inclusive and tailored approach that addresses distinct experiences of sexual violence and sexual harassment: </w:t>
      </w:r>
    </w:p>
    <w:p w14:paraId="6B5931E6" w14:textId="77777777" w:rsidR="00AB242A" w:rsidRPr="00AB242A" w:rsidRDefault="00AB242A" w:rsidP="00AB242A">
      <w:pPr>
        <w:rPr>
          <w:lang w:val="en-AU"/>
        </w:rPr>
      </w:pPr>
      <w:r w:rsidRPr="00AB242A">
        <w:rPr>
          <w:lang w:val="en-AU"/>
        </w:rPr>
        <w:t>The four gendered drivers of violence established in Our Watch’s</w:t>
      </w:r>
      <w:r w:rsidRPr="00AB242A">
        <w:rPr>
          <w:i/>
          <w:iCs/>
          <w:lang w:val="en-AU"/>
        </w:rPr>
        <w:t xml:space="preserve"> </w:t>
      </w:r>
      <w:r w:rsidRPr="00AB242A">
        <w:rPr>
          <w:lang w:val="en-AU"/>
        </w:rPr>
        <w:t>Change the Story framework are:</w:t>
      </w:r>
    </w:p>
    <w:p w14:paraId="57DC26DC" w14:textId="77777777" w:rsidR="00AB242A" w:rsidRPr="00AB242A" w:rsidRDefault="00AB242A" w:rsidP="00AB242A">
      <w:pPr>
        <w:numPr>
          <w:ilvl w:val="0"/>
          <w:numId w:val="3"/>
        </w:numPr>
        <w:rPr>
          <w:lang w:val="en-AU"/>
        </w:rPr>
      </w:pPr>
      <w:r w:rsidRPr="00AB242A">
        <w:rPr>
          <w:lang w:val="en-AU"/>
        </w:rPr>
        <w:t>Condoning of violence against women</w:t>
      </w:r>
    </w:p>
    <w:p w14:paraId="33CBB74A" w14:textId="77777777" w:rsidR="00AB242A" w:rsidRPr="00AB242A" w:rsidRDefault="00AB242A" w:rsidP="00AB242A">
      <w:pPr>
        <w:numPr>
          <w:ilvl w:val="0"/>
          <w:numId w:val="3"/>
        </w:numPr>
        <w:rPr>
          <w:lang w:val="en-AU"/>
        </w:rPr>
      </w:pPr>
      <w:r w:rsidRPr="00AB242A">
        <w:rPr>
          <w:lang w:val="en-AU"/>
        </w:rPr>
        <w:t>Men’s control of decision making and limits to women’s independence in public and private life</w:t>
      </w:r>
    </w:p>
    <w:p w14:paraId="294364E8" w14:textId="77777777" w:rsidR="00AB242A" w:rsidRPr="00AB242A" w:rsidRDefault="00AB242A" w:rsidP="00AB242A">
      <w:pPr>
        <w:numPr>
          <w:ilvl w:val="0"/>
          <w:numId w:val="3"/>
        </w:numPr>
        <w:rPr>
          <w:lang w:val="en-AU"/>
        </w:rPr>
      </w:pPr>
      <w:r w:rsidRPr="00AB242A">
        <w:rPr>
          <w:lang w:val="en-AU"/>
        </w:rPr>
        <w:t>Rigid gender roles and stereotyped constructions of masculinity and femininity</w:t>
      </w:r>
    </w:p>
    <w:p w14:paraId="1982D5A6" w14:textId="77777777" w:rsidR="00AB242A" w:rsidRPr="00AB242A" w:rsidRDefault="00AB242A" w:rsidP="00AB242A">
      <w:pPr>
        <w:numPr>
          <w:ilvl w:val="0"/>
          <w:numId w:val="3"/>
        </w:numPr>
        <w:rPr>
          <w:lang w:val="en-AU"/>
        </w:rPr>
      </w:pPr>
      <w:r w:rsidRPr="00AB242A">
        <w:rPr>
          <w:lang w:val="en-AU"/>
        </w:rPr>
        <w:t>Male peer relations that emphasise aggression and disrespect towards women.</w:t>
      </w:r>
    </w:p>
    <w:p w14:paraId="279914BB" w14:textId="4CA41286" w:rsidR="00AB242A" w:rsidRDefault="00AB242A" w:rsidP="00AB242A">
      <w:pPr>
        <w:rPr>
          <w:lang w:val="en-AU"/>
        </w:rPr>
      </w:pPr>
      <w:r w:rsidRPr="6B49347C">
        <w:rPr>
          <w:lang w:val="en-AU"/>
        </w:rPr>
        <w:lastRenderedPageBreak/>
        <w:t>The</w:t>
      </w:r>
      <w:r w:rsidR="6B3E5F3F" w:rsidRPr="6B49347C">
        <w:rPr>
          <w:lang w:val="en-AU"/>
        </w:rPr>
        <w:t>se</w:t>
      </w:r>
      <w:r w:rsidRPr="00AB242A">
        <w:rPr>
          <w:lang w:val="en-AU"/>
        </w:rPr>
        <w:t xml:space="preserve"> drivers of gendered violence are applicable </w:t>
      </w:r>
      <w:r w:rsidR="2AD701B1" w:rsidRPr="6B49347C">
        <w:rPr>
          <w:lang w:val="en-AU"/>
        </w:rPr>
        <w:t xml:space="preserve">and well </w:t>
      </w:r>
      <w:r w:rsidR="00766EDE">
        <w:rPr>
          <w:lang w:val="en-AU"/>
        </w:rPr>
        <w:t>recognised</w:t>
      </w:r>
      <w:r w:rsidR="2AD701B1" w:rsidRPr="6B49347C">
        <w:rPr>
          <w:lang w:val="en-AU"/>
        </w:rPr>
        <w:t xml:space="preserve"> </w:t>
      </w:r>
      <w:r w:rsidRPr="00AB242A">
        <w:rPr>
          <w:lang w:val="en-AU"/>
        </w:rPr>
        <w:t>across various groups and settings where sexual violence and sexual harassment occurs. Additional risk factors or the multiple layers of discrimination experienced by distinct groups, such as racism, heterosexism, ableism or ageism also arise, creating added vulnerabilities and distinct experiences of sexual violence and sexual harassment</w:t>
      </w:r>
      <w:r>
        <w:rPr>
          <w:lang w:val="en-AU"/>
        </w:rPr>
        <w:t>.</w:t>
      </w:r>
    </w:p>
    <w:p w14:paraId="7B192F9D" w14:textId="3FB005CC" w:rsidR="005F739C" w:rsidRPr="00E428DD" w:rsidRDefault="006C3640" w:rsidP="00DE4FED">
      <w:pPr>
        <w:rPr>
          <w:lang w:val="en-AU"/>
        </w:rPr>
      </w:pPr>
      <w:r>
        <w:rPr>
          <w:lang w:val="en-AU"/>
        </w:rPr>
        <w:t xml:space="preserve">21% of the 66 initiatives addressed </w:t>
      </w:r>
      <w:r w:rsidR="4D6097E4" w:rsidRPr="6B49347C">
        <w:rPr>
          <w:lang w:val="en-AU"/>
        </w:rPr>
        <w:t xml:space="preserve">these </w:t>
      </w:r>
      <w:r>
        <w:rPr>
          <w:lang w:val="en-AU"/>
        </w:rPr>
        <w:t>other forms of inequality and discrimination.</w:t>
      </w:r>
    </w:p>
    <w:p w14:paraId="6E14CC37" w14:textId="71162F15" w:rsidR="00231F4D" w:rsidRDefault="00DE4FED" w:rsidP="00DE4FED">
      <w:pPr>
        <w:rPr>
          <w:lang w:val="en-AU"/>
        </w:rPr>
      </w:pPr>
      <w:r w:rsidRPr="00DE4FED">
        <w:rPr>
          <w:b/>
          <w:bCs/>
          <w:lang w:val="en-AU"/>
        </w:rPr>
        <w:t>Not all drivers receive equal focus to create change:</w:t>
      </w:r>
      <w:r w:rsidRPr="00DE4FED">
        <w:rPr>
          <w:lang w:val="en-AU"/>
        </w:rPr>
        <w:t xml:space="preserve"> </w:t>
      </w:r>
    </w:p>
    <w:p w14:paraId="7890B890" w14:textId="26F3B288" w:rsidR="00DE4FED" w:rsidRPr="00DE4FED" w:rsidRDefault="00DE4FED" w:rsidP="00DE4FED">
      <w:pPr>
        <w:rPr>
          <w:lang w:val="en-AU"/>
        </w:rPr>
      </w:pPr>
      <w:r w:rsidRPr="00DE4FED">
        <w:rPr>
          <w:lang w:val="en-AU"/>
        </w:rPr>
        <w:t>The actions for combating violence against women receive varied focus. There are limited programs which focus on male peer to peer relationships that condone violence against women and focus on male gender roles (</w:t>
      </w:r>
      <w:r>
        <w:rPr>
          <w:lang w:val="en-AU"/>
        </w:rPr>
        <w:t>Table</w:t>
      </w:r>
      <w:r w:rsidRPr="00DE4FED">
        <w:rPr>
          <w:lang w:val="en-AU"/>
        </w:rPr>
        <w:t xml:space="preserve"> 2). </w:t>
      </w:r>
    </w:p>
    <w:p w14:paraId="139F78E6" w14:textId="7DC25358" w:rsidR="00DE4FED" w:rsidRDefault="00DE4FED" w:rsidP="00DE4FED">
      <w:r>
        <w:rPr>
          <w:b/>
          <w:bCs/>
        </w:rPr>
        <w:t>Table</w:t>
      </w:r>
      <w:r w:rsidRPr="00DE4FED">
        <w:rPr>
          <w:b/>
          <w:bCs/>
        </w:rPr>
        <w:t xml:space="preserve"> 2: </w:t>
      </w:r>
      <w:r w:rsidRPr="00DE4FED">
        <w:t>Proportion of initiatives based on focus on the drivers and actions to prevent violence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5"/>
        <w:gridCol w:w="3387"/>
      </w:tblGrid>
      <w:tr w:rsidR="00DE4FED" w14:paraId="49B22789" w14:textId="77777777" w:rsidTr="00E428DD">
        <w:trPr>
          <w:trHeight w:val="466"/>
        </w:trPr>
        <w:tc>
          <w:tcPr>
            <w:tcW w:w="5925" w:type="dxa"/>
            <w:tcBorders>
              <w:top w:val="single" w:sz="24" w:space="0" w:color="00B0F0"/>
              <w:left w:val="single" w:sz="12" w:space="0" w:color="D0CECE" w:themeColor="background2" w:themeShade="E6"/>
              <w:bottom w:val="single" w:sz="24" w:space="0" w:color="00B0F0"/>
              <w:right w:val="single" w:sz="12" w:space="0" w:color="D0CECE" w:themeColor="background2" w:themeShade="E6"/>
            </w:tcBorders>
          </w:tcPr>
          <w:p w14:paraId="6B98935F" w14:textId="78395A12" w:rsidR="00DE4FED" w:rsidRPr="00DE4FED" w:rsidRDefault="00DE4FED" w:rsidP="00DE4FED">
            <w:pPr>
              <w:rPr>
                <w:b/>
                <w:bCs/>
                <w:lang w:val="en-AU"/>
              </w:rPr>
            </w:pPr>
            <w:r w:rsidRPr="00DE4FED">
              <w:rPr>
                <w:b/>
                <w:bCs/>
                <w:lang w:val="en-AU"/>
              </w:rPr>
              <w:t>Drivers and actions to prevent violence</w:t>
            </w:r>
          </w:p>
        </w:tc>
        <w:tc>
          <w:tcPr>
            <w:tcW w:w="3387" w:type="dxa"/>
            <w:tcBorders>
              <w:top w:val="single" w:sz="24" w:space="0" w:color="00B0F0"/>
              <w:left w:val="single" w:sz="12" w:space="0" w:color="D0CECE" w:themeColor="background2" w:themeShade="E6"/>
              <w:bottom w:val="single" w:sz="24" w:space="0" w:color="00B0F0"/>
              <w:right w:val="single" w:sz="12" w:space="0" w:color="D0CECE" w:themeColor="background2" w:themeShade="E6"/>
            </w:tcBorders>
          </w:tcPr>
          <w:p w14:paraId="575A9926" w14:textId="258AB655" w:rsidR="00DE4FED" w:rsidRPr="00DE4FED" w:rsidRDefault="00DE4FED" w:rsidP="00DE4FED">
            <w:pPr>
              <w:rPr>
                <w:b/>
                <w:bCs/>
                <w:lang w:val="en-AU"/>
              </w:rPr>
            </w:pPr>
            <w:r w:rsidRPr="00DE4FED">
              <w:rPr>
                <w:b/>
                <w:bCs/>
                <w:lang w:val="en-AU"/>
              </w:rPr>
              <w:t>Proportion of initiatives</w:t>
            </w:r>
          </w:p>
        </w:tc>
      </w:tr>
      <w:tr w:rsidR="00DE4FED" w14:paraId="4394997A" w14:textId="77777777" w:rsidTr="00E428DD">
        <w:trPr>
          <w:trHeight w:val="466"/>
        </w:trPr>
        <w:tc>
          <w:tcPr>
            <w:tcW w:w="5925" w:type="dxa"/>
            <w:tcBorders>
              <w:top w:val="single" w:sz="24" w:space="0" w:color="00B0F0"/>
              <w:left w:val="single" w:sz="12" w:space="0" w:color="D0CECE" w:themeColor="background2" w:themeShade="E6"/>
              <w:bottom w:val="single" w:sz="12" w:space="0" w:color="D0CECE" w:themeColor="background2" w:themeShade="E6"/>
              <w:right w:val="single" w:sz="12" w:space="0" w:color="D0CECE" w:themeColor="background2" w:themeShade="E6"/>
            </w:tcBorders>
          </w:tcPr>
          <w:p w14:paraId="52A39FB7" w14:textId="7EA9E920" w:rsidR="00DE4FED" w:rsidRDefault="00DE4FED" w:rsidP="00DE4FED">
            <w:pPr>
              <w:rPr>
                <w:lang w:val="en-AU"/>
              </w:rPr>
            </w:pPr>
            <w:r>
              <w:rPr>
                <w:lang w:val="en-AU"/>
              </w:rPr>
              <w:t>Strengthen positive, equal and respectful relationships</w:t>
            </w:r>
          </w:p>
        </w:tc>
        <w:tc>
          <w:tcPr>
            <w:tcW w:w="3387" w:type="dxa"/>
            <w:tcBorders>
              <w:top w:val="single" w:sz="24" w:space="0" w:color="00B0F0"/>
              <w:left w:val="single" w:sz="12" w:space="0" w:color="D0CECE" w:themeColor="background2" w:themeShade="E6"/>
              <w:bottom w:val="single" w:sz="12" w:space="0" w:color="D0CECE" w:themeColor="background2" w:themeShade="E6"/>
              <w:right w:val="single" w:sz="12" w:space="0" w:color="D0CECE" w:themeColor="background2" w:themeShade="E6"/>
            </w:tcBorders>
          </w:tcPr>
          <w:p w14:paraId="6A330D5D" w14:textId="21F118CE" w:rsidR="00DE4FED" w:rsidRDefault="00DE4FED" w:rsidP="00DE4FED">
            <w:pPr>
              <w:rPr>
                <w:lang w:val="en-AU"/>
              </w:rPr>
            </w:pPr>
            <w:r>
              <w:rPr>
                <w:lang w:val="en-AU"/>
              </w:rPr>
              <w:t>67%</w:t>
            </w:r>
          </w:p>
        </w:tc>
      </w:tr>
      <w:tr w:rsidR="00DE4FED" w14:paraId="45EC5692" w14:textId="77777777" w:rsidTr="00E428DD">
        <w:trPr>
          <w:trHeight w:val="487"/>
        </w:trPr>
        <w:tc>
          <w:tcPr>
            <w:tcW w:w="5925" w:type="dxa"/>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tcPr>
          <w:p w14:paraId="36D0BE5A" w14:textId="4F9325F8" w:rsidR="00DE4FED" w:rsidRDefault="00DE4FED" w:rsidP="00DE4FED">
            <w:pPr>
              <w:rPr>
                <w:lang w:val="en-AU"/>
              </w:rPr>
            </w:pPr>
            <w:r>
              <w:rPr>
                <w:lang w:val="en-AU"/>
              </w:rPr>
              <w:t>Challenging the condoning of violence</w:t>
            </w:r>
          </w:p>
        </w:tc>
        <w:tc>
          <w:tcPr>
            <w:tcW w:w="3387" w:type="dxa"/>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tcPr>
          <w:p w14:paraId="01236528" w14:textId="4D8E7910" w:rsidR="00DE4FED" w:rsidRDefault="00DE4FED" w:rsidP="00DE4FED">
            <w:pPr>
              <w:rPr>
                <w:lang w:val="en-AU"/>
              </w:rPr>
            </w:pPr>
            <w:r>
              <w:rPr>
                <w:lang w:val="en-AU"/>
              </w:rPr>
              <w:t>78%</w:t>
            </w:r>
          </w:p>
        </w:tc>
      </w:tr>
      <w:tr w:rsidR="00DE4FED" w14:paraId="72068531" w14:textId="77777777" w:rsidTr="00E428DD">
        <w:trPr>
          <w:trHeight w:val="466"/>
        </w:trPr>
        <w:tc>
          <w:tcPr>
            <w:tcW w:w="5925" w:type="dxa"/>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tcPr>
          <w:p w14:paraId="16C1EADF" w14:textId="391A73DF" w:rsidR="00DE4FED" w:rsidRDefault="00DE4FED" w:rsidP="00DE4FED">
            <w:pPr>
              <w:rPr>
                <w:lang w:val="en-AU"/>
              </w:rPr>
            </w:pPr>
            <w:r>
              <w:rPr>
                <w:lang w:val="en-AU"/>
              </w:rPr>
              <w:t>Challenge gender stereotypes and roles</w:t>
            </w:r>
          </w:p>
        </w:tc>
        <w:tc>
          <w:tcPr>
            <w:tcW w:w="3387" w:type="dxa"/>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tcPr>
          <w:p w14:paraId="285C250F" w14:textId="638382E6" w:rsidR="00DE4FED" w:rsidRDefault="00DE4FED" w:rsidP="00DE4FED">
            <w:pPr>
              <w:rPr>
                <w:lang w:val="en-AU"/>
              </w:rPr>
            </w:pPr>
            <w:r>
              <w:rPr>
                <w:lang w:val="en-AU"/>
              </w:rPr>
              <w:t>49%</w:t>
            </w:r>
          </w:p>
        </w:tc>
      </w:tr>
      <w:tr w:rsidR="00DE4FED" w14:paraId="3F163113" w14:textId="77777777" w:rsidTr="00E428DD">
        <w:trPr>
          <w:trHeight w:val="466"/>
        </w:trPr>
        <w:tc>
          <w:tcPr>
            <w:tcW w:w="5925" w:type="dxa"/>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tcPr>
          <w:p w14:paraId="7F309358" w14:textId="1AED7FA6" w:rsidR="00DE4FED" w:rsidRDefault="00DE4FED" w:rsidP="00DE4FED">
            <w:pPr>
              <w:rPr>
                <w:lang w:val="en-AU"/>
              </w:rPr>
            </w:pPr>
            <w:r>
              <w:rPr>
                <w:lang w:val="en-AU"/>
              </w:rPr>
              <w:t>Promote women’s independence and decision making</w:t>
            </w:r>
          </w:p>
        </w:tc>
        <w:tc>
          <w:tcPr>
            <w:tcW w:w="3387" w:type="dxa"/>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tcPr>
          <w:p w14:paraId="0591A290" w14:textId="2D4A3D8A" w:rsidR="00DE4FED" w:rsidRDefault="00DE4FED" w:rsidP="00DE4FED">
            <w:pPr>
              <w:rPr>
                <w:lang w:val="en-AU"/>
              </w:rPr>
            </w:pPr>
            <w:r>
              <w:rPr>
                <w:lang w:val="en-AU"/>
              </w:rPr>
              <w:t>36%</w:t>
            </w:r>
          </w:p>
        </w:tc>
      </w:tr>
    </w:tbl>
    <w:p w14:paraId="6E078361" w14:textId="77777777" w:rsidR="00086E87" w:rsidRDefault="00086E87" w:rsidP="008F0327">
      <w:r w:rsidRPr="00086E87">
        <w:t>Source: N=288, Deloitte questionnaire, 2020. Note: initiatives may address multiple of the above drivers of violence.</w:t>
      </w:r>
    </w:p>
    <w:p w14:paraId="20D25743" w14:textId="6DB90526" w:rsidR="008F0327" w:rsidRPr="008F0327" w:rsidRDefault="008F0327" w:rsidP="008F0327">
      <w:pPr>
        <w:rPr>
          <w:lang w:val="en-AU"/>
        </w:rPr>
      </w:pPr>
      <w:r w:rsidRPr="008F0327">
        <w:rPr>
          <w:b/>
          <w:bCs/>
          <w:lang w:val="en-AU"/>
        </w:rPr>
        <w:t>Existing taboos and barriers inhibit open and necessary discussions on sexual violence and sexual harassment:</w:t>
      </w:r>
    </w:p>
    <w:p w14:paraId="406A63FB" w14:textId="64EC6E5B" w:rsidR="008F0327" w:rsidRPr="008F0327" w:rsidRDefault="008F0327" w:rsidP="008F0327">
      <w:pPr>
        <w:rPr>
          <w:lang w:val="en-AU"/>
        </w:rPr>
      </w:pPr>
      <w:r w:rsidRPr="008F0327">
        <w:rPr>
          <w:lang w:val="en-AU"/>
        </w:rPr>
        <w:t xml:space="preserve">Taboos and barriers around speaking about sexual violence, sexual harassment, sex and the body are not being addressed, preventing discussions about the drivers of sexual violence and sexual harassment. </w:t>
      </w:r>
    </w:p>
    <w:p w14:paraId="6A6CAD87" w14:textId="7B1E56F6" w:rsidR="00AB242A" w:rsidRDefault="00AB242A" w:rsidP="00AB242A"/>
    <w:p w14:paraId="10F10502" w14:textId="77777777" w:rsidR="0061371F" w:rsidRDefault="0061371F" w:rsidP="00AB242A">
      <w:pPr>
        <w:rPr>
          <w:b/>
          <w:bCs/>
          <w:sz w:val="32"/>
          <w:szCs w:val="32"/>
        </w:rPr>
      </w:pPr>
      <w:r>
        <w:rPr>
          <w:b/>
          <w:bCs/>
          <w:sz w:val="32"/>
          <w:szCs w:val="32"/>
        </w:rPr>
        <w:br w:type="page"/>
      </w:r>
    </w:p>
    <w:p w14:paraId="55FB1B7E" w14:textId="7802728A" w:rsidR="009558CD" w:rsidRDefault="009558CD" w:rsidP="00AB242A">
      <w:pPr>
        <w:rPr>
          <w:b/>
          <w:bCs/>
          <w:sz w:val="32"/>
          <w:szCs w:val="32"/>
        </w:rPr>
      </w:pPr>
      <w:r w:rsidRPr="009558CD">
        <w:rPr>
          <w:b/>
          <w:bCs/>
          <w:sz w:val="32"/>
          <w:szCs w:val="32"/>
        </w:rPr>
        <w:lastRenderedPageBreak/>
        <w:t xml:space="preserve">Enhancing coverage </w:t>
      </w:r>
    </w:p>
    <w:p w14:paraId="10934D5B" w14:textId="676855C2" w:rsidR="001A4844" w:rsidRPr="001A4844" w:rsidRDefault="001A4844" w:rsidP="001A4844">
      <w:pPr>
        <w:rPr>
          <w:lang w:val="en-AU"/>
        </w:rPr>
      </w:pPr>
      <w:r w:rsidRPr="6B49347C">
        <w:rPr>
          <w:lang w:val="en-AU"/>
        </w:rPr>
        <w:t>Th</w:t>
      </w:r>
      <w:r w:rsidR="24FF027A" w:rsidRPr="6B49347C">
        <w:rPr>
          <w:lang w:val="en-AU"/>
        </w:rPr>
        <w:t>is issue considers th</w:t>
      </w:r>
      <w:r w:rsidRPr="6B49347C">
        <w:rPr>
          <w:lang w:val="en-AU"/>
        </w:rPr>
        <w:t>e</w:t>
      </w:r>
      <w:r w:rsidRPr="001A4844">
        <w:rPr>
          <w:lang w:val="en-AU"/>
        </w:rPr>
        <w:t xml:space="preserve"> extent that primary prevention initiatives reach the whole population and address the various settings and sectors in which sexual violence and sexual harassment can occur</w:t>
      </w:r>
      <w:r w:rsidR="00B81567">
        <w:rPr>
          <w:lang w:val="en-AU"/>
        </w:rPr>
        <w:t>.</w:t>
      </w:r>
    </w:p>
    <w:p w14:paraId="26F2BEA7" w14:textId="77777777" w:rsidR="001A4844" w:rsidRPr="001A4844" w:rsidRDefault="001A4844" w:rsidP="001A4844">
      <w:pPr>
        <w:rPr>
          <w:lang w:val="en-AU"/>
        </w:rPr>
      </w:pPr>
      <w:r w:rsidRPr="001A4844">
        <w:rPr>
          <w:b/>
          <w:bCs/>
          <w:lang w:val="en-AU"/>
        </w:rPr>
        <w:t>Primary prevention initiatives are unevenly spread across Australia</w:t>
      </w:r>
    </w:p>
    <w:p w14:paraId="4988E35C" w14:textId="555AA1E6" w:rsidR="001A4844" w:rsidRPr="001A4844" w:rsidRDefault="001A4844" w:rsidP="001A4844">
      <w:pPr>
        <w:rPr>
          <w:lang w:val="en-AU"/>
        </w:rPr>
      </w:pPr>
      <w:r w:rsidRPr="001A4844">
        <w:rPr>
          <w:lang w:val="en-AU"/>
        </w:rPr>
        <w:t>Some states and regions deliver fewer primary prevention initiatives (</w:t>
      </w:r>
      <w:r>
        <w:rPr>
          <w:lang w:val="en-AU"/>
        </w:rPr>
        <w:t>Table</w:t>
      </w:r>
      <w:r w:rsidRPr="001A4844">
        <w:rPr>
          <w:lang w:val="en-AU"/>
        </w:rPr>
        <w:t xml:space="preserve"> 3). Remote areas receive poorer coverage from initiatives than metropolitan and regional areas. Only 59% of initiatives reached remote areas.</w:t>
      </w:r>
    </w:p>
    <w:p w14:paraId="551E145D" w14:textId="3B764337" w:rsidR="004A3B09" w:rsidRPr="004A3B09" w:rsidRDefault="004A3B09" w:rsidP="004A3B09">
      <w:pPr>
        <w:rPr>
          <w:lang w:val="en-AU"/>
        </w:rPr>
      </w:pPr>
      <w:r>
        <w:rPr>
          <w:b/>
          <w:bCs/>
        </w:rPr>
        <w:t>Table</w:t>
      </w:r>
      <w:r w:rsidRPr="004A3B09">
        <w:rPr>
          <w:b/>
          <w:bCs/>
        </w:rPr>
        <w:t xml:space="preserve"> 3: </w:t>
      </w:r>
      <w:r w:rsidRPr="004A3B09">
        <w:t>Initiatives across Australia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4"/>
        <w:gridCol w:w="2785"/>
      </w:tblGrid>
      <w:tr w:rsidR="00D72799" w14:paraId="3310A8F8" w14:textId="77777777" w:rsidTr="00E428DD">
        <w:trPr>
          <w:trHeight w:val="372"/>
        </w:trPr>
        <w:tc>
          <w:tcPr>
            <w:tcW w:w="3764" w:type="dxa"/>
            <w:tcBorders>
              <w:top w:val="single" w:sz="24" w:space="0" w:color="00B0F0"/>
              <w:left w:val="single" w:sz="12" w:space="0" w:color="D0CECE" w:themeColor="background2" w:themeShade="E6"/>
              <w:bottom w:val="single" w:sz="24" w:space="0" w:color="00B0F0"/>
              <w:right w:val="single" w:sz="12" w:space="0" w:color="D0CECE" w:themeColor="background2" w:themeShade="E6"/>
            </w:tcBorders>
          </w:tcPr>
          <w:p w14:paraId="30119FC8" w14:textId="49EB1DF3" w:rsidR="00D72799" w:rsidRPr="00026E5D" w:rsidRDefault="00D72799" w:rsidP="00AB242A">
            <w:pPr>
              <w:rPr>
                <w:b/>
                <w:bCs/>
              </w:rPr>
            </w:pPr>
            <w:r w:rsidRPr="00026E5D">
              <w:rPr>
                <w:b/>
                <w:bCs/>
              </w:rPr>
              <w:t>Jurisdiction</w:t>
            </w:r>
          </w:p>
        </w:tc>
        <w:tc>
          <w:tcPr>
            <w:tcW w:w="2785" w:type="dxa"/>
            <w:tcBorders>
              <w:top w:val="single" w:sz="24" w:space="0" w:color="00B0F0"/>
              <w:left w:val="single" w:sz="12" w:space="0" w:color="D0CECE" w:themeColor="background2" w:themeShade="E6"/>
              <w:bottom w:val="single" w:sz="24" w:space="0" w:color="00B0F0"/>
              <w:right w:val="single" w:sz="12" w:space="0" w:color="D0CECE" w:themeColor="background2" w:themeShade="E6"/>
            </w:tcBorders>
          </w:tcPr>
          <w:p w14:paraId="2F2B816B" w14:textId="5694A325" w:rsidR="00D72799" w:rsidRPr="00026E5D" w:rsidRDefault="00D72799" w:rsidP="00AB242A">
            <w:pPr>
              <w:rPr>
                <w:b/>
                <w:bCs/>
              </w:rPr>
            </w:pPr>
            <w:r w:rsidRPr="00026E5D">
              <w:rPr>
                <w:b/>
                <w:bCs/>
              </w:rPr>
              <w:t xml:space="preserve">Number of </w:t>
            </w:r>
            <w:r w:rsidR="001458B0" w:rsidRPr="00026E5D">
              <w:rPr>
                <w:b/>
                <w:bCs/>
              </w:rPr>
              <w:t>initiatives</w:t>
            </w:r>
          </w:p>
        </w:tc>
      </w:tr>
      <w:tr w:rsidR="004A3B09" w14:paraId="79D77E98" w14:textId="77777777" w:rsidTr="00E428DD">
        <w:trPr>
          <w:trHeight w:val="348"/>
        </w:trPr>
        <w:tc>
          <w:tcPr>
            <w:tcW w:w="3764" w:type="dxa"/>
            <w:tcBorders>
              <w:top w:val="single" w:sz="24" w:space="0" w:color="00B0F0"/>
              <w:left w:val="single" w:sz="12" w:space="0" w:color="D0CECE" w:themeColor="background2" w:themeShade="E6"/>
              <w:bottom w:val="single" w:sz="12" w:space="0" w:color="D0CECE" w:themeColor="background2" w:themeShade="E6"/>
              <w:right w:val="single" w:sz="12" w:space="0" w:color="D0CECE" w:themeColor="background2" w:themeShade="E6"/>
            </w:tcBorders>
          </w:tcPr>
          <w:p w14:paraId="5B213822" w14:textId="78C5C189" w:rsidR="004A3B09" w:rsidRDefault="00E97AD2" w:rsidP="00AB242A">
            <w:r>
              <w:t>Australia-wide</w:t>
            </w:r>
          </w:p>
        </w:tc>
        <w:tc>
          <w:tcPr>
            <w:tcW w:w="2785" w:type="dxa"/>
            <w:tcBorders>
              <w:top w:val="single" w:sz="24" w:space="0" w:color="00B0F0"/>
              <w:left w:val="single" w:sz="12" w:space="0" w:color="D0CECE" w:themeColor="background2" w:themeShade="E6"/>
              <w:bottom w:val="single" w:sz="12" w:space="0" w:color="D0CECE" w:themeColor="background2" w:themeShade="E6"/>
              <w:right w:val="single" w:sz="12" w:space="0" w:color="D0CECE" w:themeColor="background2" w:themeShade="E6"/>
            </w:tcBorders>
          </w:tcPr>
          <w:p w14:paraId="24736431" w14:textId="7EEF11E9" w:rsidR="004A3B09" w:rsidRDefault="001458B0" w:rsidP="00AB242A">
            <w:r>
              <w:t>49</w:t>
            </w:r>
          </w:p>
        </w:tc>
      </w:tr>
      <w:tr w:rsidR="004A3B09" w14:paraId="37F184BE" w14:textId="77777777" w:rsidTr="00E428DD">
        <w:trPr>
          <w:trHeight w:val="372"/>
        </w:trPr>
        <w:tc>
          <w:tcPr>
            <w:tcW w:w="3764" w:type="dxa"/>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tcPr>
          <w:p w14:paraId="5B208268" w14:textId="6A126EBB" w:rsidR="004A3B09" w:rsidRDefault="00E97AD2" w:rsidP="00AB242A">
            <w:r>
              <w:t>New South Wales</w:t>
            </w:r>
          </w:p>
        </w:tc>
        <w:tc>
          <w:tcPr>
            <w:tcW w:w="2785" w:type="dxa"/>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tcPr>
          <w:p w14:paraId="0937ACEC" w14:textId="72AF1943" w:rsidR="004A3B09" w:rsidRDefault="001458B0" w:rsidP="00AB242A">
            <w:r>
              <w:t>34</w:t>
            </w:r>
          </w:p>
        </w:tc>
      </w:tr>
      <w:tr w:rsidR="004A3B09" w14:paraId="1B09C6BF" w14:textId="77777777" w:rsidTr="00E428DD">
        <w:trPr>
          <w:trHeight w:val="372"/>
        </w:trPr>
        <w:tc>
          <w:tcPr>
            <w:tcW w:w="3764" w:type="dxa"/>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tcPr>
          <w:p w14:paraId="477E50E7" w14:textId="3FBBC523" w:rsidR="004A3B09" w:rsidRDefault="00E97AD2" w:rsidP="00AB242A">
            <w:r>
              <w:t>Victoria</w:t>
            </w:r>
          </w:p>
        </w:tc>
        <w:tc>
          <w:tcPr>
            <w:tcW w:w="2785" w:type="dxa"/>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tcPr>
          <w:p w14:paraId="53F28CA0" w14:textId="55C68AFF" w:rsidR="004A3B09" w:rsidRDefault="001458B0" w:rsidP="00AB242A">
            <w:r>
              <w:t>26</w:t>
            </w:r>
          </w:p>
        </w:tc>
      </w:tr>
      <w:tr w:rsidR="004A3B09" w14:paraId="760AE110" w14:textId="77777777" w:rsidTr="00E428DD">
        <w:trPr>
          <w:trHeight w:val="348"/>
        </w:trPr>
        <w:tc>
          <w:tcPr>
            <w:tcW w:w="3764" w:type="dxa"/>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tcPr>
          <w:p w14:paraId="611A4116" w14:textId="74811FB6" w:rsidR="004A3B09" w:rsidRDefault="00E97AD2" w:rsidP="00AB242A">
            <w:r>
              <w:t>Queensland</w:t>
            </w:r>
          </w:p>
        </w:tc>
        <w:tc>
          <w:tcPr>
            <w:tcW w:w="2785" w:type="dxa"/>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tcPr>
          <w:p w14:paraId="473FCF92" w14:textId="781D3275" w:rsidR="004A3B09" w:rsidRDefault="001458B0" w:rsidP="00AB242A">
            <w:r>
              <w:t>23</w:t>
            </w:r>
          </w:p>
        </w:tc>
      </w:tr>
      <w:tr w:rsidR="004A3B09" w14:paraId="16B7F632" w14:textId="77777777" w:rsidTr="00E428DD">
        <w:trPr>
          <w:trHeight w:val="372"/>
        </w:trPr>
        <w:tc>
          <w:tcPr>
            <w:tcW w:w="3764" w:type="dxa"/>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tcPr>
          <w:p w14:paraId="1A691887" w14:textId="0C54FE8D" w:rsidR="004A3B09" w:rsidRDefault="00E97AD2" w:rsidP="00AB242A">
            <w:r>
              <w:t>South Australia</w:t>
            </w:r>
          </w:p>
        </w:tc>
        <w:tc>
          <w:tcPr>
            <w:tcW w:w="2785" w:type="dxa"/>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tcPr>
          <w:p w14:paraId="4CDEB44E" w14:textId="276285A5" w:rsidR="004A3B09" w:rsidRDefault="001458B0" w:rsidP="00AB242A">
            <w:r>
              <w:t>10</w:t>
            </w:r>
          </w:p>
        </w:tc>
      </w:tr>
      <w:tr w:rsidR="004A3B09" w14:paraId="45D4902D" w14:textId="77777777" w:rsidTr="00E428DD">
        <w:trPr>
          <w:trHeight w:val="348"/>
        </w:trPr>
        <w:tc>
          <w:tcPr>
            <w:tcW w:w="3764" w:type="dxa"/>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tcPr>
          <w:p w14:paraId="2A6C982F" w14:textId="4ECAF63A" w:rsidR="004A3B09" w:rsidRDefault="00E97AD2" w:rsidP="00AB242A">
            <w:r>
              <w:t>West</w:t>
            </w:r>
            <w:r w:rsidR="001458B0">
              <w:t>ern</w:t>
            </w:r>
            <w:r>
              <w:t xml:space="preserve"> Australia</w:t>
            </w:r>
          </w:p>
        </w:tc>
        <w:tc>
          <w:tcPr>
            <w:tcW w:w="2785" w:type="dxa"/>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tcPr>
          <w:p w14:paraId="23170982" w14:textId="655AEE96" w:rsidR="004A3B09" w:rsidRDefault="001458B0" w:rsidP="00AB242A">
            <w:r>
              <w:t>16</w:t>
            </w:r>
          </w:p>
        </w:tc>
      </w:tr>
      <w:tr w:rsidR="004A3B09" w14:paraId="605B2B2A" w14:textId="77777777" w:rsidTr="00E428DD">
        <w:trPr>
          <w:trHeight w:val="372"/>
        </w:trPr>
        <w:tc>
          <w:tcPr>
            <w:tcW w:w="3764" w:type="dxa"/>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tcPr>
          <w:p w14:paraId="06ABE0EC" w14:textId="2B0BBBDD" w:rsidR="004A3B09" w:rsidRDefault="00E97AD2" w:rsidP="00AB242A">
            <w:r>
              <w:t>Tasmania</w:t>
            </w:r>
          </w:p>
        </w:tc>
        <w:tc>
          <w:tcPr>
            <w:tcW w:w="2785" w:type="dxa"/>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tcPr>
          <w:p w14:paraId="0AE077A8" w14:textId="6C7FEE72" w:rsidR="004A3B09" w:rsidRDefault="001458B0" w:rsidP="00AB242A">
            <w:r>
              <w:t>8</w:t>
            </w:r>
          </w:p>
        </w:tc>
      </w:tr>
      <w:tr w:rsidR="00E97AD2" w14:paraId="28EDB523" w14:textId="77777777" w:rsidTr="00E428DD">
        <w:trPr>
          <w:trHeight w:val="372"/>
        </w:trPr>
        <w:tc>
          <w:tcPr>
            <w:tcW w:w="3764" w:type="dxa"/>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tcPr>
          <w:p w14:paraId="7CED5425" w14:textId="582BA1D2" w:rsidR="00E97AD2" w:rsidRDefault="00E97AD2" w:rsidP="00AB242A">
            <w:r>
              <w:t xml:space="preserve">Northern </w:t>
            </w:r>
            <w:r w:rsidR="00D72799">
              <w:t>Territory</w:t>
            </w:r>
          </w:p>
        </w:tc>
        <w:tc>
          <w:tcPr>
            <w:tcW w:w="2785" w:type="dxa"/>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tcPr>
          <w:p w14:paraId="37C202AF" w14:textId="02EB7238" w:rsidR="00E97AD2" w:rsidRDefault="001458B0" w:rsidP="00AB242A">
            <w:r>
              <w:t>6</w:t>
            </w:r>
          </w:p>
        </w:tc>
      </w:tr>
      <w:tr w:rsidR="00E97AD2" w14:paraId="4AFC4A73" w14:textId="77777777" w:rsidTr="00E428DD">
        <w:trPr>
          <w:trHeight w:val="348"/>
        </w:trPr>
        <w:tc>
          <w:tcPr>
            <w:tcW w:w="3764" w:type="dxa"/>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tcPr>
          <w:p w14:paraId="05158CFA" w14:textId="72DFD547" w:rsidR="00E97AD2" w:rsidRDefault="00D72799" w:rsidP="00AB242A">
            <w:r>
              <w:t>Australian Capital Territory</w:t>
            </w:r>
          </w:p>
        </w:tc>
        <w:tc>
          <w:tcPr>
            <w:tcW w:w="2785" w:type="dxa"/>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tcPr>
          <w:p w14:paraId="26CE14AF" w14:textId="7178ACCA" w:rsidR="00E97AD2" w:rsidRDefault="00026E5D" w:rsidP="00AB242A">
            <w:r>
              <w:t>10</w:t>
            </w:r>
          </w:p>
        </w:tc>
      </w:tr>
      <w:tr w:rsidR="004A3B09" w14:paraId="5AE5CF84" w14:textId="77777777" w:rsidTr="00E428DD">
        <w:trPr>
          <w:trHeight w:val="372"/>
        </w:trPr>
        <w:tc>
          <w:tcPr>
            <w:tcW w:w="3764" w:type="dxa"/>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tcPr>
          <w:p w14:paraId="2493E0DF" w14:textId="1CCC6305" w:rsidR="004A3B09" w:rsidRDefault="004A3B09" w:rsidP="00AB242A">
            <w:r>
              <w:t>Multiple states</w:t>
            </w:r>
          </w:p>
        </w:tc>
        <w:tc>
          <w:tcPr>
            <w:tcW w:w="2785" w:type="dxa"/>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tcPr>
          <w:p w14:paraId="58269317" w14:textId="3D89B17A" w:rsidR="004A3B09" w:rsidRDefault="00026E5D" w:rsidP="00AB242A">
            <w:r>
              <w:t>5</w:t>
            </w:r>
          </w:p>
        </w:tc>
      </w:tr>
    </w:tbl>
    <w:p w14:paraId="7313326D" w14:textId="77777777" w:rsidR="00EB69E3" w:rsidRDefault="00EB69E3" w:rsidP="00101B59">
      <w:r w:rsidRPr="00EB69E3">
        <w:t xml:space="preserve">Source: N=187, Deloitte questionnaire, 2020. Note: Total responses add to 197 as some initiatives are conducted across multiple jurisdictions. </w:t>
      </w:r>
    </w:p>
    <w:p w14:paraId="6356B3D0" w14:textId="66840DD3" w:rsidR="00101B59" w:rsidRPr="00101B59" w:rsidRDefault="00101B59" w:rsidP="00101B59">
      <w:pPr>
        <w:rPr>
          <w:lang w:val="en-AU"/>
        </w:rPr>
      </w:pPr>
      <w:r w:rsidRPr="00101B59">
        <w:rPr>
          <w:b/>
          <w:bCs/>
          <w:lang w:val="en-AU"/>
        </w:rPr>
        <w:t xml:space="preserve">Primary prevention requires greater attention on men and boys and to varying age groups: </w:t>
      </w:r>
    </w:p>
    <w:p w14:paraId="103D28CD" w14:textId="454B179A" w:rsidR="00101B59" w:rsidRPr="00101B59" w:rsidRDefault="00101B59" w:rsidP="00101B59">
      <w:pPr>
        <w:rPr>
          <w:lang w:val="en-AU"/>
        </w:rPr>
      </w:pPr>
      <w:r w:rsidRPr="00101B59">
        <w:rPr>
          <w:lang w:val="en-AU"/>
        </w:rPr>
        <w:t>Whole of life and gender-diverse approaches are not always included in primary prevention (</w:t>
      </w:r>
      <w:r>
        <w:rPr>
          <w:lang w:val="en-AU"/>
        </w:rPr>
        <w:t>Table</w:t>
      </w:r>
      <w:r w:rsidRPr="00101B59">
        <w:rPr>
          <w:lang w:val="en-AU"/>
        </w:rPr>
        <w:t xml:space="preserve"> 4). Opportunities to engage younger children could be enhanced. Parents and older generations who serve as role models and decision makers are not often directly targeted. </w:t>
      </w:r>
    </w:p>
    <w:p w14:paraId="15530C14" w14:textId="6CD53F44" w:rsidR="00101B59" w:rsidRDefault="00101B59" w:rsidP="00101B59">
      <w:pPr>
        <w:rPr>
          <w:lang w:val="en-AU"/>
        </w:rPr>
      </w:pPr>
      <w:r w:rsidRPr="00101B59">
        <w:rPr>
          <w:lang w:val="en-AU"/>
        </w:rPr>
        <w:t>The stocktake results show that 8% of initiatives targeted potential perpetrators, while over 12% targeted bystanders and 15% targeted potential victims. Stakeholders advised that there are few initiatives which specifically target men and boys.</w:t>
      </w:r>
    </w:p>
    <w:p w14:paraId="670D64F8" w14:textId="77777777" w:rsidR="0061371F" w:rsidRDefault="0061371F" w:rsidP="00101B59">
      <w:pPr>
        <w:rPr>
          <w:b/>
          <w:bCs/>
          <w:lang w:val="en-AU"/>
        </w:rPr>
      </w:pPr>
    </w:p>
    <w:p w14:paraId="74225ABD" w14:textId="77777777" w:rsidR="008A2380" w:rsidRDefault="008A2380" w:rsidP="00101B59">
      <w:pPr>
        <w:rPr>
          <w:b/>
          <w:bCs/>
          <w:lang w:val="en-AU"/>
        </w:rPr>
      </w:pPr>
    </w:p>
    <w:p w14:paraId="1839C5A2" w14:textId="77777777" w:rsidR="0061371F" w:rsidRDefault="0061371F" w:rsidP="00101B59">
      <w:pPr>
        <w:rPr>
          <w:b/>
          <w:bCs/>
          <w:lang w:val="en-AU"/>
        </w:rPr>
      </w:pPr>
    </w:p>
    <w:p w14:paraId="4BE9091E" w14:textId="73DD9F6B" w:rsidR="00101B59" w:rsidRDefault="00720B8C" w:rsidP="00101B59">
      <w:pPr>
        <w:rPr>
          <w:lang w:val="en-AU"/>
        </w:rPr>
      </w:pPr>
      <w:r>
        <w:rPr>
          <w:b/>
          <w:bCs/>
          <w:lang w:val="en-AU"/>
        </w:rPr>
        <w:t xml:space="preserve">Table 4: </w:t>
      </w:r>
      <w:r>
        <w:rPr>
          <w:lang w:val="en-AU"/>
        </w:rPr>
        <w:t>The proportion of initiatives that target certain life stages</w:t>
      </w:r>
    </w:p>
    <w:p w14:paraId="0EEC8354" w14:textId="0F90FDFF" w:rsidR="00720B8C" w:rsidRPr="00101B59" w:rsidRDefault="00720B8C" w:rsidP="00101B59">
      <w:pPr>
        <w:rPr>
          <w:lang w:val="en-AU"/>
        </w:rPr>
      </w:pPr>
      <w:r>
        <w:rPr>
          <w:lang w:val="en-AU"/>
        </w:rPr>
        <w:t xml:space="preserve">Of the initiatives identified in the stocktake, varying numbers targeted the below demographic groups.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8"/>
        <w:gridCol w:w="3089"/>
        <w:gridCol w:w="3089"/>
      </w:tblGrid>
      <w:tr w:rsidR="007F42CC" w14:paraId="30340BD9" w14:textId="77777777" w:rsidTr="00E428DD">
        <w:trPr>
          <w:trHeight w:val="308"/>
        </w:trPr>
        <w:tc>
          <w:tcPr>
            <w:tcW w:w="3088" w:type="dxa"/>
            <w:tcBorders>
              <w:top w:val="single" w:sz="24" w:space="0" w:color="00B0F0"/>
              <w:left w:val="single" w:sz="12" w:space="0" w:color="D0CECE" w:themeColor="background2" w:themeShade="E6"/>
              <w:bottom w:val="single" w:sz="24" w:space="0" w:color="00B0F0"/>
              <w:right w:val="single" w:sz="12" w:space="0" w:color="D0CECE" w:themeColor="background2" w:themeShade="E6"/>
            </w:tcBorders>
          </w:tcPr>
          <w:p w14:paraId="31C60C9A" w14:textId="64B0B09C" w:rsidR="007F42CC" w:rsidRPr="008B30C6" w:rsidRDefault="00564934" w:rsidP="00AB242A">
            <w:pPr>
              <w:rPr>
                <w:b/>
                <w:bCs/>
              </w:rPr>
            </w:pPr>
            <w:r w:rsidRPr="008B30C6">
              <w:rPr>
                <w:b/>
                <w:bCs/>
              </w:rPr>
              <w:t>Demographic groups</w:t>
            </w:r>
          </w:p>
        </w:tc>
        <w:tc>
          <w:tcPr>
            <w:tcW w:w="3089" w:type="dxa"/>
            <w:tcBorders>
              <w:top w:val="single" w:sz="24" w:space="0" w:color="00B0F0"/>
              <w:left w:val="single" w:sz="12" w:space="0" w:color="D0CECE" w:themeColor="background2" w:themeShade="E6"/>
              <w:bottom w:val="single" w:sz="24" w:space="0" w:color="00B0F0"/>
              <w:right w:val="single" w:sz="12" w:space="0" w:color="D0CECE" w:themeColor="background2" w:themeShade="E6"/>
            </w:tcBorders>
          </w:tcPr>
          <w:p w14:paraId="15DE2AD8" w14:textId="1968CAB4" w:rsidR="007F42CC" w:rsidRPr="008B30C6" w:rsidRDefault="001F17D9" w:rsidP="00AB242A">
            <w:pPr>
              <w:rPr>
                <w:b/>
                <w:bCs/>
              </w:rPr>
            </w:pPr>
            <w:r w:rsidRPr="008B30C6">
              <w:rPr>
                <w:b/>
                <w:bCs/>
              </w:rPr>
              <w:t xml:space="preserve">Proportion of </w:t>
            </w:r>
            <w:r w:rsidR="00AF10AE" w:rsidRPr="008B30C6">
              <w:rPr>
                <w:b/>
                <w:bCs/>
              </w:rPr>
              <w:t>initiatives</w:t>
            </w:r>
          </w:p>
        </w:tc>
        <w:tc>
          <w:tcPr>
            <w:tcW w:w="3089" w:type="dxa"/>
            <w:tcBorders>
              <w:top w:val="single" w:sz="24" w:space="0" w:color="00B0F0"/>
              <w:left w:val="single" w:sz="12" w:space="0" w:color="D0CECE" w:themeColor="background2" w:themeShade="E6"/>
              <w:bottom w:val="single" w:sz="24" w:space="0" w:color="00B0F0"/>
              <w:right w:val="single" w:sz="12" w:space="0" w:color="D0CECE" w:themeColor="background2" w:themeShade="E6"/>
            </w:tcBorders>
          </w:tcPr>
          <w:p w14:paraId="071E4B1B" w14:textId="1DF65B63" w:rsidR="007F42CC" w:rsidRPr="008B30C6" w:rsidRDefault="00AF10AE" w:rsidP="00AB242A">
            <w:pPr>
              <w:rPr>
                <w:b/>
                <w:bCs/>
              </w:rPr>
            </w:pPr>
            <w:r w:rsidRPr="008B30C6">
              <w:rPr>
                <w:b/>
                <w:bCs/>
              </w:rPr>
              <w:t>Setting</w:t>
            </w:r>
          </w:p>
        </w:tc>
      </w:tr>
      <w:tr w:rsidR="007F42CC" w14:paraId="5B6E8D15" w14:textId="77777777" w:rsidTr="00E428DD">
        <w:trPr>
          <w:trHeight w:val="1252"/>
        </w:trPr>
        <w:tc>
          <w:tcPr>
            <w:tcW w:w="3088" w:type="dxa"/>
            <w:tcBorders>
              <w:top w:val="single" w:sz="24" w:space="0" w:color="00B0F0"/>
              <w:left w:val="single" w:sz="12" w:space="0" w:color="D0CECE" w:themeColor="background2" w:themeShade="E6"/>
              <w:bottom w:val="single" w:sz="12" w:space="0" w:color="D0CECE" w:themeColor="background2" w:themeShade="E6"/>
              <w:right w:val="single" w:sz="12" w:space="0" w:color="D0CECE" w:themeColor="background2" w:themeShade="E6"/>
            </w:tcBorders>
          </w:tcPr>
          <w:p w14:paraId="57B750C8" w14:textId="4947A1E1" w:rsidR="007F42CC" w:rsidRDefault="00564934" w:rsidP="00AB242A">
            <w:r>
              <w:t>Boys and girls (below 15 years)</w:t>
            </w:r>
          </w:p>
        </w:tc>
        <w:tc>
          <w:tcPr>
            <w:tcW w:w="3089" w:type="dxa"/>
            <w:tcBorders>
              <w:top w:val="single" w:sz="24" w:space="0" w:color="00B0F0"/>
              <w:left w:val="single" w:sz="12" w:space="0" w:color="D0CECE" w:themeColor="background2" w:themeShade="E6"/>
              <w:bottom w:val="single" w:sz="12" w:space="0" w:color="D0CECE" w:themeColor="background2" w:themeShade="E6"/>
              <w:right w:val="single" w:sz="12" w:space="0" w:color="D0CECE" w:themeColor="background2" w:themeShade="E6"/>
            </w:tcBorders>
          </w:tcPr>
          <w:p w14:paraId="2EA2F767" w14:textId="3AE07422" w:rsidR="007F42CC" w:rsidRDefault="001F17D9" w:rsidP="00AB242A">
            <w:r>
              <w:t>16%</w:t>
            </w:r>
          </w:p>
        </w:tc>
        <w:tc>
          <w:tcPr>
            <w:tcW w:w="3089" w:type="dxa"/>
            <w:tcBorders>
              <w:top w:val="single" w:sz="24" w:space="0" w:color="00B0F0"/>
              <w:left w:val="single" w:sz="12" w:space="0" w:color="D0CECE" w:themeColor="background2" w:themeShade="E6"/>
              <w:bottom w:val="single" w:sz="12" w:space="0" w:color="D0CECE" w:themeColor="background2" w:themeShade="E6"/>
              <w:right w:val="single" w:sz="12" w:space="0" w:color="D0CECE" w:themeColor="background2" w:themeShade="E6"/>
            </w:tcBorders>
          </w:tcPr>
          <w:p w14:paraId="0C056D0D" w14:textId="5F1A0C78" w:rsidR="007F42CC" w:rsidRDefault="00AF10AE" w:rsidP="00AF10AE">
            <w:pPr>
              <w:numPr>
                <w:ilvl w:val="0"/>
                <w:numId w:val="4"/>
              </w:numPr>
            </w:pPr>
            <w:r>
              <w:t>Home</w:t>
            </w:r>
          </w:p>
          <w:p w14:paraId="2AB73DDF" w14:textId="77777777" w:rsidR="00AF10AE" w:rsidRDefault="00AF10AE" w:rsidP="00AF10AE">
            <w:pPr>
              <w:numPr>
                <w:ilvl w:val="0"/>
                <w:numId w:val="4"/>
              </w:numPr>
            </w:pPr>
            <w:r>
              <w:t>Media</w:t>
            </w:r>
          </w:p>
          <w:p w14:paraId="3D2D4DE7" w14:textId="77777777" w:rsidR="00AF10AE" w:rsidRDefault="00AF10AE" w:rsidP="00AF10AE">
            <w:pPr>
              <w:numPr>
                <w:ilvl w:val="0"/>
                <w:numId w:val="4"/>
              </w:numPr>
            </w:pPr>
            <w:r>
              <w:t>Early childhood</w:t>
            </w:r>
          </w:p>
          <w:p w14:paraId="3CF9EFBA" w14:textId="72353C1C" w:rsidR="00AF10AE" w:rsidRDefault="00AF10AE" w:rsidP="00AF10AE">
            <w:pPr>
              <w:numPr>
                <w:ilvl w:val="0"/>
                <w:numId w:val="4"/>
              </w:numPr>
            </w:pPr>
            <w:r>
              <w:t xml:space="preserve">School </w:t>
            </w:r>
          </w:p>
        </w:tc>
      </w:tr>
      <w:tr w:rsidR="007F42CC" w14:paraId="155AC1D2" w14:textId="77777777" w:rsidTr="00E428DD">
        <w:trPr>
          <w:trHeight w:val="1577"/>
        </w:trPr>
        <w:tc>
          <w:tcPr>
            <w:tcW w:w="3088" w:type="dxa"/>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tcPr>
          <w:p w14:paraId="3B2748A7" w14:textId="55FC692E" w:rsidR="007F42CC" w:rsidRDefault="00564934" w:rsidP="00AB242A">
            <w:r>
              <w:t>Young people (15-24 years)</w:t>
            </w:r>
          </w:p>
        </w:tc>
        <w:tc>
          <w:tcPr>
            <w:tcW w:w="3089" w:type="dxa"/>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tcPr>
          <w:p w14:paraId="6D1B0954" w14:textId="7C6070E5" w:rsidR="007F42CC" w:rsidRDefault="001F17D9" w:rsidP="00AB242A">
            <w:r>
              <w:t>25%</w:t>
            </w:r>
          </w:p>
        </w:tc>
        <w:tc>
          <w:tcPr>
            <w:tcW w:w="3089" w:type="dxa"/>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tcPr>
          <w:p w14:paraId="5400FF2D" w14:textId="407CB13B" w:rsidR="00AF10AE" w:rsidRDefault="00AF10AE" w:rsidP="00AF10AE">
            <w:pPr>
              <w:numPr>
                <w:ilvl w:val="0"/>
                <w:numId w:val="4"/>
              </w:numPr>
            </w:pPr>
            <w:r>
              <w:t>School and higher education</w:t>
            </w:r>
          </w:p>
          <w:p w14:paraId="0AA7F62F" w14:textId="52BA1F26" w:rsidR="00AF10AE" w:rsidRDefault="00AF10AE" w:rsidP="00AF10AE">
            <w:pPr>
              <w:numPr>
                <w:ilvl w:val="0"/>
                <w:numId w:val="4"/>
              </w:numPr>
            </w:pPr>
            <w:r>
              <w:t>Workplace</w:t>
            </w:r>
          </w:p>
          <w:p w14:paraId="04F5D6F3" w14:textId="3EE08E26" w:rsidR="00AF10AE" w:rsidRDefault="00AF10AE" w:rsidP="00AF10AE">
            <w:pPr>
              <w:numPr>
                <w:ilvl w:val="0"/>
                <w:numId w:val="4"/>
              </w:numPr>
            </w:pPr>
            <w:r>
              <w:t>Home</w:t>
            </w:r>
          </w:p>
          <w:p w14:paraId="4141D37A" w14:textId="0923754C" w:rsidR="007F42CC" w:rsidRDefault="00AF10AE" w:rsidP="00AF10AE">
            <w:pPr>
              <w:numPr>
                <w:ilvl w:val="0"/>
                <w:numId w:val="4"/>
              </w:numPr>
            </w:pPr>
            <w:r>
              <w:t xml:space="preserve">Community </w:t>
            </w:r>
          </w:p>
        </w:tc>
      </w:tr>
      <w:tr w:rsidR="007F42CC" w14:paraId="1E6F9603" w14:textId="77777777" w:rsidTr="00E428DD">
        <w:trPr>
          <w:trHeight w:val="943"/>
        </w:trPr>
        <w:tc>
          <w:tcPr>
            <w:tcW w:w="3088" w:type="dxa"/>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tcPr>
          <w:p w14:paraId="55CA483D" w14:textId="5B832D00" w:rsidR="007F42CC" w:rsidRDefault="00564934" w:rsidP="00AB242A">
            <w:r>
              <w:t>Women</w:t>
            </w:r>
          </w:p>
        </w:tc>
        <w:tc>
          <w:tcPr>
            <w:tcW w:w="3089" w:type="dxa"/>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tcPr>
          <w:p w14:paraId="4C4239C8" w14:textId="2D13E5EF" w:rsidR="007F42CC" w:rsidRDefault="001F17D9" w:rsidP="00AB242A">
            <w:r>
              <w:t>15%</w:t>
            </w:r>
          </w:p>
        </w:tc>
        <w:tc>
          <w:tcPr>
            <w:tcW w:w="3089" w:type="dxa"/>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tcPr>
          <w:p w14:paraId="30579AB5" w14:textId="77777777" w:rsidR="00AF10AE" w:rsidRDefault="00AF10AE" w:rsidP="00AF10AE">
            <w:pPr>
              <w:numPr>
                <w:ilvl w:val="0"/>
                <w:numId w:val="4"/>
              </w:numPr>
            </w:pPr>
            <w:r>
              <w:t>Home</w:t>
            </w:r>
          </w:p>
          <w:p w14:paraId="578BC9BF" w14:textId="77777777" w:rsidR="007F42CC" w:rsidRDefault="00AF10AE" w:rsidP="00AF10AE">
            <w:pPr>
              <w:numPr>
                <w:ilvl w:val="0"/>
                <w:numId w:val="4"/>
              </w:numPr>
            </w:pPr>
            <w:r>
              <w:t>Workplace</w:t>
            </w:r>
          </w:p>
          <w:p w14:paraId="23AF7D88" w14:textId="24641AE2" w:rsidR="00AF10AE" w:rsidRDefault="00AF10AE" w:rsidP="00AF10AE">
            <w:pPr>
              <w:numPr>
                <w:ilvl w:val="0"/>
                <w:numId w:val="4"/>
              </w:numPr>
            </w:pPr>
            <w:r>
              <w:t>Community</w:t>
            </w:r>
          </w:p>
        </w:tc>
      </w:tr>
      <w:tr w:rsidR="007F42CC" w14:paraId="088EE707" w14:textId="77777777" w:rsidTr="00E428DD">
        <w:trPr>
          <w:trHeight w:val="943"/>
        </w:trPr>
        <w:tc>
          <w:tcPr>
            <w:tcW w:w="3088" w:type="dxa"/>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tcPr>
          <w:p w14:paraId="39DAAF22" w14:textId="6618F612" w:rsidR="007F42CC" w:rsidRDefault="00564934" w:rsidP="00AB242A">
            <w:r>
              <w:t>Men</w:t>
            </w:r>
          </w:p>
        </w:tc>
        <w:tc>
          <w:tcPr>
            <w:tcW w:w="3089" w:type="dxa"/>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tcPr>
          <w:p w14:paraId="157D6E1E" w14:textId="28836921" w:rsidR="007F42CC" w:rsidRDefault="001F17D9" w:rsidP="00AB242A">
            <w:r>
              <w:t>10%</w:t>
            </w:r>
          </w:p>
        </w:tc>
        <w:tc>
          <w:tcPr>
            <w:tcW w:w="3089" w:type="dxa"/>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tcPr>
          <w:p w14:paraId="58770116" w14:textId="77777777" w:rsidR="00AF10AE" w:rsidRDefault="00AF10AE" w:rsidP="00AF10AE">
            <w:pPr>
              <w:numPr>
                <w:ilvl w:val="0"/>
                <w:numId w:val="4"/>
              </w:numPr>
            </w:pPr>
            <w:r>
              <w:t>Home</w:t>
            </w:r>
          </w:p>
          <w:p w14:paraId="34E47AAE" w14:textId="77777777" w:rsidR="00AF10AE" w:rsidRDefault="00AF10AE" w:rsidP="00AF10AE">
            <w:pPr>
              <w:numPr>
                <w:ilvl w:val="0"/>
                <w:numId w:val="4"/>
              </w:numPr>
            </w:pPr>
            <w:r>
              <w:t>Workplace</w:t>
            </w:r>
          </w:p>
          <w:p w14:paraId="07F6224F" w14:textId="4EA89838" w:rsidR="007F42CC" w:rsidRDefault="00AF10AE" w:rsidP="00AF10AE">
            <w:pPr>
              <w:numPr>
                <w:ilvl w:val="0"/>
                <w:numId w:val="4"/>
              </w:numPr>
            </w:pPr>
            <w:r>
              <w:t>Community</w:t>
            </w:r>
          </w:p>
        </w:tc>
      </w:tr>
      <w:tr w:rsidR="007F42CC" w14:paraId="6ACD8A54" w14:textId="77777777" w:rsidTr="00E428DD">
        <w:trPr>
          <w:trHeight w:val="943"/>
        </w:trPr>
        <w:tc>
          <w:tcPr>
            <w:tcW w:w="3088" w:type="dxa"/>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tcPr>
          <w:p w14:paraId="6D419F1A" w14:textId="62D00EBA" w:rsidR="007F42CC" w:rsidRDefault="00564934" w:rsidP="00AB242A">
            <w:r>
              <w:t xml:space="preserve">Parents and </w:t>
            </w:r>
            <w:proofErr w:type="spellStart"/>
            <w:r>
              <w:t>carers</w:t>
            </w:r>
            <w:proofErr w:type="spellEnd"/>
          </w:p>
        </w:tc>
        <w:tc>
          <w:tcPr>
            <w:tcW w:w="3089" w:type="dxa"/>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tcPr>
          <w:p w14:paraId="0981A50E" w14:textId="3C6709FE" w:rsidR="007F42CC" w:rsidRDefault="001F17D9" w:rsidP="00AB242A">
            <w:r>
              <w:t>8%</w:t>
            </w:r>
          </w:p>
        </w:tc>
        <w:tc>
          <w:tcPr>
            <w:tcW w:w="3089" w:type="dxa"/>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tcPr>
          <w:p w14:paraId="07B892B7" w14:textId="77777777" w:rsidR="00AF10AE" w:rsidRDefault="00AF10AE" w:rsidP="00AF10AE">
            <w:pPr>
              <w:numPr>
                <w:ilvl w:val="0"/>
                <w:numId w:val="4"/>
              </w:numPr>
            </w:pPr>
            <w:r>
              <w:t>Home</w:t>
            </w:r>
          </w:p>
          <w:p w14:paraId="5F773DA1" w14:textId="77777777" w:rsidR="00AF10AE" w:rsidRDefault="00AF10AE" w:rsidP="00AF10AE">
            <w:pPr>
              <w:numPr>
                <w:ilvl w:val="0"/>
                <w:numId w:val="4"/>
              </w:numPr>
            </w:pPr>
            <w:r>
              <w:t>Workplace</w:t>
            </w:r>
          </w:p>
          <w:p w14:paraId="4DA5C042" w14:textId="3DA0DE26" w:rsidR="007F42CC" w:rsidRDefault="00AF10AE" w:rsidP="00AF10AE">
            <w:pPr>
              <w:numPr>
                <w:ilvl w:val="0"/>
                <w:numId w:val="4"/>
              </w:numPr>
            </w:pPr>
            <w:r>
              <w:t>Community</w:t>
            </w:r>
          </w:p>
        </w:tc>
      </w:tr>
      <w:tr w:rsidR="007F42CC" w14:paraId="7B8A05D6" w14:textId="77777777" w:rsidTr="00E428DD">
        <w:trPr>
          <w:trHeight w:val="617"/>
        </w:trPr>
        <w:tc>
          <w:tcPr>
            <w:tcW w:w="3088" w:type="dxa"/>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tcPr>
          <w:p w14:paraId="6A4096FF" w14:textId="66875AA7" w:rsidR="007F42CC" w:rsidRDefault="00564934" w:rsidP="00AB242A">
            <w:r>
              <w:t>Older persons</w:t>
            </w:r>
          </w:p>
        </w:tc>
        <w:tc>
          <w:tcPr>
            <w:tcW w:w="3089" w:type="dxa"/>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tcPr>
          <w:p w14:paraId="4AEDB6C9" w14:textId="6EB53FCF" w:rsidR="007F42CC" w:rsidRDefault="001F17D9" w:rsidP="00AB242A">
            <w:r>
              <w:t>2%</w:t>
            </w:r>
          </w:p>
        </w:tc>
        <w:tc>
          <w:tcPr>
            <w:tcW w:w="3089" w:type="dxa"/>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tcPr>
          <w:p w14:paraId="7C8443EB" w14:textId="77777777" w:rsidR="00AF10AE" w:rsidRDefault="00AF10AE" w:rsidP="00AF10AE">
            <w:pPr>
              <w:numPr>
                <w:ilvl w:val="0"/>
                <w:numId w:val="4"/>
              </w:numPr>
            </w:pPr>
            <w:r>
              <w:t>Home</w:t>
            </w:r>
          </w:p>
          <w:p w14:paraId="1C8A2A6B" w14:textId="23B5C0AC" w:rsidR="007F42CC" w:rsidRDefault="00AF10AE" w:rsidP="00AF10AE">
            <w:pPr>
              <w:numPr>
                <w:ilvl w:val="0"/>
                <w:numId w:val="4"/>
              </w:numPr>
            </w:pPr>
            <w:r>
              <w:t>Community</w:t>
            </w:r>
          </w:p>
        </w:tc>
      </w:tr>
    </w:tbl>
    <w:p w14:paraId="6A82ABAC" w14:textId="77777777" w:rsidR="00EB69E3" w:rsidRDefault="00EB69E3" w:rsidP="00E03C68">
      <w:r w:rsidRPr="00EB69E3">
        <w:t>Source: N=315, Deloitte questionnaire, 2020. Note: Figures do not add to 100% as some initiatives may have targeted multiple stages of life, while others may have targeted none.</w:t>
      </w:r>
    </w:p>
    <w:p w14:paraId="109DCD15" w14:textId="3DEA8F27" w:rsidR="00E03C68" w:rsidRPr="00E03C68" w:rsidRDefault="00E03C68" w:rsidP="00E03C68">
      <w:pPr>
        <w:rPr>
          <w:lang w:val="en-AU"/>
        </w:rPr>
      </w:pPr>
      <w:r w:rsidRPr="00E03C68">
        <w:rPr>
          <w:b/>
          <w:bCs/>
          <w:lang w:val="en-AU"/>
        </w:rPr>
        <w:t xml:space="preserve">The needs of diverse communities are not always met through mainstream initiatives: </w:t>
      </w:r>
    </w:p>
    <w:p w14:paraId="10D14DFD" w14:textId="77777777" w:rsidR="00E03C68" w:rsidRPr="00E03C68" w:rsidRDefault="00E03C68" w:rsidP="00E03C68">
      <w:pPr>
        <w:rPr>
          <w:lang w:val="en-AU"/>
        </w:rPr>
      </w:pPr>
      <w:r w:rsidRPr="00E03C68">
        <w:rPr>
          <w:lang w:val="en-AU"/>
        </w:rPr>
        <w:lastRenderedPageBreak/>
        <w:t xml:space="preserve">Diverse population groups, who are at higher risk of sexual violence and sexual harassment, require greater inclusion in primary prevention initiatives. There is greater focus on “mainstream” experiences of sexual violence and sexual harassment. </w:t>
      </w:r>
    </w:p>
    <w:p w14:paraId="48A98E98" w14:textId="1B0E50F2" w:rsidR="00E03C68" w:rsidRDefault="00E03C68" w:rsidP="00E03C68">
      <w:pPr>
        <w:rPr>
          <w:lang w:val="en-AU"/>
        </w:rPr>
      </w:pPr>
      <w:r w:rsidRPr="00E03C68">
        <w:rPr>
          <w:lang w:val="en-AU"/>
        </w:rPr>
        <w:t xml:space="preserve">The stocktake found that less than 40% of initiatives were targeted to diverse groups. The distinct contexts of sexual violence and sexual harassment experienced by diverse populations risk going unaddressed. </w:t>
      </w:r>
    </w:p>
    <w:p w14:paraId="5545C2D3" w14:textId="01A9F05C" w:rsidR="4652842A" w:rsidRDefault="4652842A" w:rsidP="6B49347C">
      <w:pPr>
        <w:rPr>
          <w:lang w:val="en-AU"/>
        </w:rPr>
      </w:pPr>
      <w:r w:rsidRPr="6B49347C">
        <w:rPr>
          <w:lang w:val="en-AU"/>
        </w:rPr>
        <w:t>Stocktake initiatives targeted the following:</w:t>
      </w:r>
    </w:p>
    <w:p w14:paraId="0F440CB7" w14:textId="3B06065E" w:rsidR="00A91A8F" w:rsidRDefault="002A2E3A" w:rsidP="002A2E3A">
      <w:pPr>
        <w:numPr>
          <w:ilvl w:val="0"/>
          <w:numId w:val="5"/>
        </w:numPr>
        <w:rPr>
          <w:lang w:val="en-AU"/>
        </w:rPr>
      </w:pPr>
      <w:r>
        <w:rPr>
          <w:lang w:val="en-AU"/>
        </w:rPr>
        <w:t>20% target the Aboriginal and Torres Strait Islander community</w:t>
      </w:r>
    </w:p>
    <w:p w14:paraId="540CC738" w14:textId="52A3F48C" w:rsidR="002A2E3A" w:rsidRDefault="002A2E3A" w:rsidP="002A2E3A">
      <w:pPr>
        <w:numPr>
          <w:ilvl w:val="0"/>
          <w:numId w:val="5"/>
        </w:numPr>
        <w:rPr>
          <w:lang w:val="en-AU"/>
        </w:rPr>
      </w:pPr>
      <w:r>
        <w:rPr>
          <w:lang w:val="en-AU"/>
        </w:rPr>
        <w:t>13% target people with disability</w:t>
      </w:r>
    </w:p>
    <w:p w14:paraId="2058BBB5" w14:textId="3E49A734" w:rsidR="002A2E3A" w:rsidRDefault="002A2E3A" w:rsidP="002A2E3A">
      <w:pPr>
        <w:numPr>
          <w:ilvl w:val="0"/>
          <w:numId w:val="5"/>
        </w:numPr>
        <w:rPr>
          <w:lang w:val="en-AU"/>
        </w:rPr>
      </w:pPr>
      <w:r>
        <w:rPr>
          <w:lang w:val="en-AU"/>
        </w:rPr>
        <w:t>14% target the LGBTIQ community</w:t>
      </w:r>
    </w:p>
    <w:p w14:paraId="4C50B46A" w14:textId="3200E3E4" w:rsidR="007F4AF9" w:rsidRDefault="002A2E3A" w:rsidP="007F4AF9">
      <w:pPr>
        <w:numPr>
          <w:ilvl w:val="0"/>
          <w:numId w:val="5"/>
        </w:numPr>
        <w:rPr>
          <w:lang w:val="en-AU"/>
        </w:rPr>
      </w:pPr>
      <w:r>
        <w:rPr>
          <w:lang w:val="en-AU"/>
        </w:rPr>
        <w:t xml:space="preserve">19% target </w:t>
      </w:r>
      <w:r w:rsidR="00C81746">
        <w:rPr>
          <w:lang w:val="en-AU"/>
        </w:rPr>
        <w:t>the culturally and linguistically diverse</w:t>
      </w:r>
      <w:r>
        <w:rPr>
          <w:lang w:val="en-AU"/>
        </w:rPr>
        <w:t xml:space="preserve"> community</w:t>
      </w:r>
      <w:r w:rsidR="00B81567">
        <w:rPr>
          <w:lang w:val="en-AU"/>
        </w:rPr>
        <w:t>.</w:t>
      </w:r>
    </w:p>
    <w:p w14:paraId="673365B6" w14:textId="07E0045F" w:rsidR="00EB69E3" w:rsidRPr="00F02506" w:rsidRDefault="00976363" w:rsidP="00EB69E3">
      <w:pPr>
        <w:rPr>
          <w:lang w:val="en-AU"/>
        </w:rPr>
      </w:pPr>
      <w:r w:rsidRPr="00976363">
        <w:rPr>
          <w:lang w:val="en-AU"/>
        </w:rPr>
        <w:t>Source: N=315, Deloitte questionnaire, 2020. Note: Figures do not add to 100% as some initiatives may have targeted multiple of the above, while others may have targeted none.</w:t>
      </w:r>
    </w:p>
    <w:p w14:paraId="426B095B" w14:textId="77777777" w:rsidR="007F4AF9" w:rsidRPr="007F4AF9" w:rsidRDefault="007F4AF9" w:rsidP="007F4AF9">
      <w:pPr>
        <w:rPr>
          <w:lang w:val="en-AU"/>
        </w:rPr>
      </w:pPr>
      <w:r w:rsidRPr="007F4AF9">
        <w:rPr>
          <w:b/>
          <w:bCs/>
          <w:lang w:val="en-AU"/>
        </w:rPr>
        <w:t xml:space="preserve">A more comprehensive approach to primary prevention in sexual violence and sexual harassment in specific sectors and contexts can enhance the impact of primary prevention: </w:t>
      </w:r>
    </w:p>
    <w:p w14:paraId="1F52AE1E" w14:textId="77777777" w:rsidR="007F4AF9" w:rsidRPr="007F4AF9" w:rsidRDefault="007F4AF9" w:rsidP="007F4AF9">
      <w:pPr>
        <w:rPr>
          <w:lang w:val="en-AU"/>
        </w:rPr>
      </w:pPr>
      <w:r w:rsidRPr="007F4AF9">
        <w:rPr>
          <w:lang w:val="en-AU"/>
        </w:rPr>
        <w:t xml:space="preserve">Specific sectors that would benefit from a more comprehensive approach to primary prevention initiatives in sexual violence and sexual harassment are education and care settings, faith-based communities, the arts and policing and legal professions. </w:t>
      </w:r>
    </w:p>
    <w:p w14:paraId="41EE885E" w14:textId="39B79CD8" w:rsidR="007F4AF9" w:rsidRPr="007F4AF9" w:rsidRDefault="007F4AF9" w:rsidP="007F4AF9">
      <w:pPr>
        <w:rPr>
          <w:lang w:val="en-AU"/>
        </w:rPr>
      </w:pPr>
      <w:r w:rsidRPr="007F4AF9">
        <w:rPr>
          <w:lang w:val="en-AU"/>
        </w:rPr>
        <w:t xml:space="preserve">Greater attention on emerging contexts such as the online environment and reproductive coercion is also needed. </w:t>
      </w:r>
    </w:p>
    <w:p w14:paraId="5D8FEFC7" w14:textId="52BEFF3C" w:rsidR="007F4AF9" w:rsidRDefault="18612ED0" w:rsidP="00AB242A">
      <w:r>
        <w:t xml:space="preserve">The </w:t>
      </w:r>
      <w:r w:rsidR="4AC82893">
        <w:t>m</w:t>
      </w:r>
      <w:r w:rsidR="00F365AF">
        <w:t>ost common targeted settings</w:t>
      </w:r>
      <w:r w:rsidR="291C505E">
        <w:t xml:space="preserve"> are:</w:t>
      </w:r>
    </w:p>
    <w:p w14:paraId="465C53D0" w14:textId="6F3C493C" w:rsidR="00F365AF" w:rsidRDefault="00F365AF" w:rsidP="00F365AF">
      <w:pPr>
        <w:numPr>
          <w:ilvl w:val="0"/>
          <w:numId w:val="6"/>
        </w:numPr>
      </w:pPr>
      <w:r>
        <w:t>Education and care settings</w:t>
      </w:r>
    </w:p>
    <w:p w14:paraId="76D2791B" w14:textId="63A9260D" w:rsidR="00F365AF" w:rsidRDefault="00F365AF" w:rsidP="00F365AF">
      <w:pPr>
        <w:numPr>
          <w:ilvl w:val="0"/>
          <w:numId w:val="6"/>
        </w:numPr>
      </w:pPr>
      <w:r>
        <w:t>Workplaces</w:t>
      </w:r>
    </w:p>
    <w:p w14:paraId="725AE583" w14:textId="55AE2699" w:rsidR="00F365AF" w:rsidRDefault="00F365AF" w:rsidP="00F365AF">
      <w:pPr>
        <w:numPr>
          <w:ilvl w:val="0"/>
          <w:numId w:val="6"/>
        </w:numPr>
      </w:pPr>
      <w:r>
        <w:t>Health and care settings</w:t>
      </w:r>
      <w:r w:rsidR="00B81567">
        <w:t>.</w:t>
      </w:r>
    </w:p>
    <w:p w14:paraId="1347FBCE" w14:textId="04527C70" w:rsidR="00F365AF" w:rsidRDefault="2C721CEB" w:rsidP="00F365AF">
      <w:r>
        <w:t>The least</w:t>
      </w:r>
      <w:r w:rsidR="00F365AF">
        <w:t xml:space="preserve"> commonly targeted setting</w:t>
      </w:r>
      <w:r w:rsidR="53403B52">
        <w:t>s are:</w:t>
      </w:r>
    </w:p>
    <w:p w14:paraId="6F2E7905" w14:textId="37CB42A7" w:rsidR="00F365AF" w:rsidRDefault="00F365AF" w:rsidP="00F365AF">
      <w:pPr>
        <w:numPr>
          <w:ilvl w:val="0"/>
          <w:numId w:val="7"/>
        </w:numPr>
      </w:pPr>
      <w:r>
        <w:t>Legal and justice</w:t>
      </w:r>
    </w:p>
    <w:p w14:paraId="159E8F31" w14:textId="30A7BF1A" w:rsidR="00F365AF" w:rsidRDefault="00F365AF" w:rsidP="00F365AF">
      <w:pPr>
        <w:numPr>
          <w:ilvl w:val="0"/>
          <w:numId w:val="7"/>
        </w:numPr>
      </w:pPr>
      <w:r>
        <w:t>The arts and popular culture</w:t>
      </w:r>
    </w:p>
    <w:p w14:paraId="62E3FAB3" w14:textId="150B8C22" w:rsidR="00F365AF" w:rsidRDefault="00F365AF" w:rsidP="00F365AF">
      <w:pPr>
        <w:numPr>
          <w:ilvl w:val="0"/>
          <w:numId w:val="7"/>
        </w:numPr>
      </w:pPr>
      <w:r>
        <w:t>Faith based settings</w:t>
      </w:r>
      <w:r w:rsidR="00B81567">
        <w:t>.</w:t>
      </w:r>
    </w:p>
    <w:p w14:paraId="634E2484" w14:textId="21B3AF30" w:rsidR="00A96A5A" w:rsidRDefault="00976363" w:rsidP="00A96A5A">
      <w:r w:rsidRPr="00976363">
        <w:t>Source: N=271, Deloitte questionnaire, 2020</w:t>
      </w:r>
      <w:r>
        <w:t>.</w:t>
      </w:r>
    </w:p>
    <w:p w14:paraId="6109886C" w14:textId="77777777" w:rsidR="0061371F" w:rsidRDefault="0061371F" w:rsidP="00A96A5A">
      <w:pPr>
        <w:rPr>
          <w:b/>
          <w:bCs/>
          <w:sz w:val="32"/>
          <w:szCs w:val="32"/>
        </w:rPr>
      </w:pPr>
      <w:r>
        <w:rPr>
          <w:b/>
          <w:bCs/>
          <w:sz w:val="32"/>
          <w:szCs w:val="32"/>
        </w:rPr>
        <w:br w:type="page"/>
      </w:r>
    </w:p>
    <w:p w14:paraId="2BB02741" w14:textId="1C681C11" w:rsidR="00A96A5A" w:rsidRDefault="00A96A5A" w:rsidP="00A96A5A">
      <w:pPr>
        <w:rPr>
          <w:b/>
          <w:bCs/>
          <w:sz w:val="32"/>
          <w:szCs w:val="32"/>
        </w:rPr>
      </w:pPr>
      <w:r w:rsidRPr="00A96A5A">
        <w:rPr>
          <w:b/>
          <w:bCs/>
          <w:sz w:val="32"/>
          <w:szCs w:val="32"/>
        </w:rPr>
        <w:lastRenderedPageBreak/>
        <w:t xml:space="preserve">Improving approaches and strategies </w:t>
      </w:r>
    </w:p>
    <w:p w14:paraId="593193A9" w14:textId="3789A85F" w:rsidR="00A96A5A" w:rsidRPr="00A96A5A" w:rsidRDefault="4C1806A4" w:rsidP="00A96A5A">
      <w:pPr>
        <w:rPr>
          <w:lang w:val="en-AU"/>
        </w:rPr>
      </w:pPr>
      <w:r w:rsidRPr="6B49347C">
        <w:rPr>
          <w:lang w:val="en-AU"/>
        </w:rPr>
        <w:t>This issue maps</w:t>
      </w:r>
      <w:r w:rsidR="00A96A5A" w:rsidRPr="00A96A5A">
        <w:rPr>
          <w:lang w:val="en-AU"/>
        </w:rPr>
        <w:t xml:space="preserve"> primary prevention initiatives across the ecological model </w:t>
      </w:r>
      <w:r w:rsidR="263228EA" w:rsidRPr="6B49347C">
        <w:rPr>
          <w:lang w:val="en-AU"/>
        </w:rPr>
        <w:t xml:space="preserve">and </w:t>
      </w:r>
      <w:r w:rsidR="33984E5D" w:rsidRPr="6B49347C">
        <w:rPr>
          <w:lang w:val="en-AU"/>
        </w:rPr>
        <w:t>considers</w:t>
      </w:r>
      <w:r w:rsidR="00A96A5A" w:rsidRPr="00A96A5A">
        <w:rPr>
          <w:lang w:val="en-AU"/>
        </w:rPr>
        <w:t xml:space="preserve"> how they are delivered</w:t>
      </w:r>
      <w:r w:rsidR="00B81567">
        <w:rPr>
          <w:lang w:val="en-AU"/>
        </w:rPr>
        <w:t>.</w:t>
      </w:r>
    </w:p>
    <w:p w14:paraId="00BAE05A" w14:textId="77777777" w:rsidR="004D4FE5" w:rsidRPr="004D4FE5" w:rsidRDefault="004D4FE5" w:rsidP="004D4FE5">
      <w:pPr>
        <w:rPr>
          <w:lang w:val="en-AU"/>
        </w:rPr>
      </w:pPr>
      <w:r w:rsidRPr="004D4FE5">
        <w:rPr>
          <w:b/>
          <w:bCs/>
          <w:lang w:val="en-AU"/>
        </w:rPr>
        <w:t xml:space="preserve">Greater consistency in the delivery of initiatives across the individual, community and societal level, will effect greater change in attitudes, behaviours and systems: </w:t>
      </w:r>
    </w:p>
    <w:p w14:paraId="1C3D9665" w14:textId="77777777" w:rsidR="004D4FE5" w:rsidRPr="004D4FE5" w:rsidRDefault="004D4FE5" w:rsidP="004D4FE5">
      <w:pPr>
        <w:rPr>
          <w:lang w:val="en-AU"/>
        </w:rPr>
      </w:pPr>
      <w:r w:rsidRPr="004D4FE5">
        <w:rPr>
          <w:lang w:val="en-AU"/>
        </w:rPr>
        <w:t xml:space="preserve">Primary prevention should be delivered using a comprehensive suite of initiatives. Currently, awareness raising and upskilling the workforce are relied on as the preferred initiatives for delivering change. Initiatives at the organisational and community level present as areas of need. </w:t>
      </w:r>
    </w:p>
    <w:p w14:paraId="01BF4EED" w14:textId="6B608D66" w:rsidR="004D4FE5" w:rsidRPr="004D4FE5" w:rsidRDefault="004D4FE5" w:rsidP="004D4FE5">
      <w:pPr>
        <w:rPr>
          <w:lang w:val="en-AU"/>
        </w:rPr>
      </w:pPr>
      <w:r w:rsidRPr="004D4FE5">
        <w:rPr>
          <w:b/>
          <w:bCs/>
          <w:lang w:val="en-AU"/>
        </w:rPr>
        <w:t xml:space="preserve">The current suite of mechanisms </w:t>
      </w:r>
      <w:r w:rsidRPr="6B49347C">
        <w:rPr>
          <w:b/>
          <w:bCs/>
          <w:lang w:val="en-AU"/>
        </w:rPr>
        <w:t>consist</w:t>
      </w:r>
      <w:r w:rsidR="11D18A1C" w:rsidRPr="6B49347C">
        <w:rPr>
          <w:b/>
          <w:bCs/>
          <w:lang w:val="en-AU"/>
        </w:rPr>
        <w:t>s</w:t>
      </w:r>
      <w:r w:rsidRPr="004D4FE5">
        <w:rPr>
          <w:b/>
          <w:bCs/>
          <w:lang w:val="en-AU"/>
        </w:rPr>
        <w:t xml:space="preserve"> of mainly short term and one-off initiatives: </w:t>
      </w:r>
    </w:p>
    <w:p w14:paraId="23439BD9" w14:textId="11DBC2D7" w:rsidR="004D4FE5" w:rsidRPr="004D4FE5" w:rsidRDefault="004D4FE5" w:rsidP="004D4FE5">
      <w:pPr>
        <w:rPr>
          <w:lang w:val="en-AU"/>
        </w:rPr>
      </w:pPr>
      <w:r w:rsidRPr="004D4FE5">
        <w:rPr>
          <w:lang w:val="en-AU"/>
        </w:rPr>
        <w:t xml:space="preserve">Research suggests that attitude, behaviour and system change cannot be achieved in the short term. </w:t>
      </w:r>
      <w:proofErr w:type="gramStart"/>
      <w:r w:rsidRPr="004D4FE5">
        <w:rPr>
          <w:lang w:val="en-AU"/>
        </w:rPr>
        <w:t>The current proportion of short term and one-off initiatives,</w:t>
      </w:r>
      <w:proofErr w:type="gramEnd"/>
      <w:r w:rsidRPr="004D4FE5">
        <w:rPr>
          <w:lang w:val="en-AU"/>
        </w:rPr>
        <w:t xml:space="preserve"> </w:t>
      </w:r>
      <w:r w:rsidRPr="6B49347C">
        <w:rPr>
          <w:lang w:val="en-AU"/>
        </w:rPr>
        <w:t>suggest long</w:t>
      </w:r>
      <w:r w:rsidR="2736EEEA" w:rsidRPr="6B49347C">
        <w:rPr>
          <w:lang w:val="en-AU"/>
        </w:rPr>
        <w:t>er</w:t>
      </w:r>
      <w:r w:rsidRPr="004D4FE5">
        <w:rPr>
          <w:lang w:val="en-AU"/>
        </w:rPr>
        <w:t xml:space="preserve"> term initiatives are needed. Long term initiatives are enabled by </w:t>
      </w:r>
      <w:r w:rsidR="2EA4A4D8" w:rsidRPr="6B49347C">
        <w:rPr>
          <w:lang w:val="en-AU"/>
        </w:rPr>
        <w:t>appropriate</w:t>
      </w:r>
      <w:r w:rsidRPr="004D4FE5">
        <w:rPr>
          <w:lang w:val="en-AU"/>
        </w:rPr>
        <w:t xml:space="preserve"> funding.</w:t>
      </w:r>
    </w:p>
    <w:p w14:paraId="43E6346C" w14:textId="77777777" w:rsidR="004D4FE5" w:rsidRPr="004D4FE5" w:rsidRDefault="004D4FE5" w:rsidP="004D4FE5">
      <w:pPr>
        <w:rPr>
          <w:lang w:val="en-AU"/>
        </w:rPr>
      </w:pPr>
      <w:r w:rsidRPr="004D4FE5">
        <w:rPr>
          <w:b/>
          <w:bCs/>
          <w:lang w:val="en-AU"/>
        </w:rPr>
        <w:t xml:space="preserve">Tailoring the delivery of initiatives to distinct groups will ensure community needs are met: </w:t>
      </w:r>
    </w:p>
    <w:p w14:paraId="7175E26E" w14:textId="13778105" w:rsidR="004D4FE5" w:rsidRPr="004D4FE5" w:rsidRDefault="12798A27" w:rsidP="004D4FE5">
      <w:pPr>
        <w:rPr>
          <w:lang w:val="en-AU"/>
        </w:rPr>
      </w:pPr>
      <w:r w:rsidRPr="6B49347C">
        <w:rPr>
          <w:lang w:val="en-AU"/>
        </w:rPr>
        <w:t>More</w:t>
      </w:r>
      <w:r w:rsidR="004D4FE5" w:rsidRPr="004D4FE5">
        <w:rPr>
          <w:lang w:val="en-AU"/>
        </w:rPr>
        <w:t xml:space="preserve"> tailoring of initiatives for diverse populations </w:t>
      </w:r>
      <w:r w:rsidR="12A08F1D" w:rsidRPr="6B49347C">
        <w:rPr>
          <w:lang w:val="en-AU"/>
        </w:rPr>
        <w:t xml:space="preserve">will increase effectiveness. </w:t>
      </w:r>
      <w:r w:rsidR="004D4FE5" w:rsidRPr="004D4FE5">
        <w:rPr>
          <w:lang w:val="en-AU"/>
        </w:rPr>
        <w:t xml:space="preserve"> This means modifying how initiatives are delivered and by whom they are delivered. Stakeholders </w:t>
      </w:r>
      <w:r w:rsidR="3E835B6C" w:rsidRPr="6B49347C">
        <w:rPr>
          <w:lang w:val="en-AU"/>
        </w:rPr>
        <w:t>in the stocktake consultation</w:t>
      </w:r>
      <w:r w:rsidR="004D4FE5" w:rsidRPr="6B49347C">
        <w:rPr>
          <w:lang w:val="en-AU"/>
        </w:rPr>
        <w:t xml:space="preserve"> </w:t>
      </w:r>
      <w:r w:rsidR="004D4FE5" w:rsidRPr="004D4FE5">
        <w:rPr>
          <w:lang w:val="en-AU"/>
        </w:rPr>
        <w:t xml:space="preserve">advised that mechanisms must be community led and co-designed. Community engagement, role modelling, healing and knowledge circles were key mechanisms for delivering changes in attitudes and behaviours for distinct communities. </w:t>
      </w:r>
    </w:p>
    <w:p w14:paraId="527C95F0" w14:textId="77777777" w:rsidR="004D4FE5" w:rsidRPr="004D4FE5" w:rsidRDefault="004D4FE5" w:rsidP="004D4FE5">
      <w:pPr>
        <w:rPr>
          <w:lang w:val="en-AU"/>
        </w:rPr>
      </w:pPr>
      <w:r w:rsidRPr="004D4FE5">
        <w:rPr>
          <w:b/>
          <w:bCs/>
          <w:lang w:val="en-AU"/>
        </w:rPr>
        <w:t xml:space="preserve">Building a specialist workforce that can deliver primary prevention is needed: </w:t>
      </w:r>
    </w:p>
    <w:p w14:paraId="1090FB52" w14:textId="77777777" w:rsidR="004D4FE5" w:rsidRPr="004D4FE5" w:rsidRDefault="004D4FE5" w:rsidP="004D4FE5">
      <w:pPr>
        <w:rPr>
          <w:lang w:val="en-AU"/>
        </w:rPr>
      </w:pPr>
      <w:r w:rsidRPr="004D4FE5">
        <w:rPr>
          <w:lang w:val="en-AU"/>
        </w:rPr>
        <w:t xml:space="preserve">Primary prevention requires specific skills. Many organisations deliver primary prevention as an ‘extra’, in addition to their core work. That core work may be tertiary responses to sexual violence and sexual harassment or other work unrelated to prevention. This suggests a workforce capacity and capability gap in delivery primary prevention in sexual violence and sexual harassment. </w:t>
      </w:r>
    </w:p>
    <w:p w14:paraId="7D9B4EF2" w14:textId="45C385AE" w:rsidR="00A96A5A" w:rsidRDefault="00A96A5A" w:rsidP="00A96A5A"/>
    <w:p w14:paraId="78EC3402" w14:textId="18941BBA" w:rsidR="0061371F" w:rsidRDefault="0061371F" w:rsidP="00A96A5A"/>
    <w:p w14:paraId="04F870BC" w14:textId="4A099EAF" w:rsidR="0061371F" w:rsidRDefault="0061371F" w:rsidP="00A96A5A"/>
    <w:p w14:paraId="6E1976DD" w14:textId="61F1ED93" w:rsidR="0061371F" w:rsidRDefault="0061371F" w:rsidP="00A96A5A"/>
    <w:p w14:paraId="193412D2" w14:textId="7DC2C3C6" w:rsidR="0061371F" w:rsidRDefault="0061371F" w:rsidP="00A96A5A"/>
    <w:p w14:paraId="33DD79B1" w14:textId="52925165" w:rsidR="0061371F" w:rsidRDefault="0061371F" w:rsidP="00A96A5A"/>
    <w:p w14:paraId="52495E37" w14:textId="63B04B9B" w:rsidR="0061371F" w:rsidRDefault="0061371F" w:rsidP="00A96A5A"/>
    <w:p w14:paraId="7D515B29" w14:textId="35233CA4" w:rsidR="0061371F" w:rsidRDefault="0061371F" w:rsidP="00A96A5A"/>
    <w:p w14:paraId="23DA2616" w14:textId="02F3F0EA" w:rsidR="0061371F" w:rsidRDefault="0061371F" w:rsidP="00A96A5A"/>
    <w:p w14:paraId="636DE918" w14:textId="77777777" w:rsidR="0061371F" w:rsidRDefault="0061371F" w:rsidP="00A96A5A"/>
    <w:p w14:paraId="2A0F676E" w14:textId="219C2B3C" w:rsidR="00D91BE5" w:rsidRDefault="00D91BE5" w:rsidP="00A96A5A">
      <w:r>
        <w:rPr>
          <w:b/>
          <w:bCs/>
        </w:rPr>
        <w:lastRenderedPageBreak/>
        <w:t xml:space="preserve">Table 5: </w:t>
      </w:r>
      <w:r w:rsidRPr="00F45027">
        <w:t>Initiatives and timeframe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1215"/>
        <w:gridCol w:w="1215"/>
        <w:gridCol w:w="1214"/>
        <w:gridCol w:w="1214"/>
        <w:gridCol w:w="1215"/>
        <w:gridCol w:w="1840"/>
      </w:tblGrid>
      <w:tr w:rsidR="00B04062" w14:paraId="1634E415" w14:textId="087E7F47" w:rsidTr="007217D8">
        <w:tc>
          <w:tcPr>
            <w:tcW w:w="1427" w:type="dxa"/>
            <w:vMerge w:val="restart"/>
            <w:tcBorders>
              <w:top w:val="single" w:sz="24" w:space="0" w:color="00B0F0"/>
              <w:left w:val="single" w:sz="8" w:space="0" w:color="D0CECE" w:themeColor="background2" w:themeShade="E6"/>
              <w:right w:val="single" w:sz="8" w:space="0" w:color="D0CECE" w:themeColor="background2" w:themeShade="E6"/>
            </w:tcBorders>
          </w:tcPr>
          <w:p w14:paraId="388FEF77" w14:textId="6A85DA0B" w:rsidR="00B04062" w:rsidRPr="008B30C6" w:rsidRDefault="00B04062" w:rsidP="00A96A5A">
            <w:pPr>
              <w:rPr>
                <w:b/>
                <w:bCs/>
              </w:rPr>
            </w:pPr>
            <w:r w:rsidRPr="008B30C6">
              <w:rPr>
                <w:b/>
                <w:bCs/>
              </w:rPr>
              <w:t xml:space="preserve">Approach of </w:t>
            </w:r>
            <w:r w:rsidR="002939DF" w:rsidRPr="008B30C6">
              <w:rPr>
                <w:b/>
                <w:bCs/>
              </w:rPr>
              <w:t>initiatives</w:t>
            </w:r>
          </w:p>
        </w:tc>
        <w:tc>
          <w:tcPr>
            <w:tcW w:w="6073" w:type="dxa"/>
            <w:gridSpan w:val="5"/>
            <w:tcBorders>
              <w:top w:val="single" w:sz="24" w:space="0" w:color="00B0F0"/>
              <w:left w:val="single" w:sz="8" w:space="0" w:color="D0CECE" w:themeColor="background2" w:themeShade="E6"/>
              <w:bottom w:val="single" w:sz="24" w:space="0" w:color="00B0F0"/>
              <w:right w:val="single" w:sz="8" w:space="0" w:color="D0CECE" w:themeColor="background2" w:themeShade="E6"/>
            </w:tcBorders>
          </w:tcPr>
          <w:p w14:paraId="3085C074" w14:textId="33250D08" w:rsidR="00B04062" w:rsidRPr="008B30C6" w:rsidRDefault="00B04062" w:rsidP="00A96A5A">
            <w:pPr>
              <w:rPr>
                <w:b/>
                <w:bCs/>
              </w:rPr>
            </w:pPr>
            <w:r w:rsidRPr="008B30C6">
              <w:rPr>
                <w:b/>
                <w:bCs/>
              </w:rPr>
              <w:t>Timeframe</w:t>
            </w:r>
          </w:p>
        </w:tc>
        <w:tc>
          <w:tcPr>
            <w:tcW w:w="1840" w:type="dxa"/>
            <w:vMerge w:val="restart"/>
            <w:tcBorders>
              <w:top w:val="single" w:sz="24" w:space="0" w:color="00B0F0"/>
              <w:left w:val="single" w:sz="8" w:space="0" w:color="D0CECE" w:themeColor="background2" w:themeShade="E6"/>
              <w:right w:val="single" w:sz="8" w:space="0" w:color="D0CECE" w:themeColor="background2" w:themeShade="E6"/>
            </w:tcBorders>
          </w:tcPr>
          <w:p w14:paraId="77E56A3B" w14:textId="4AA7B7B6" w:rsidR="00B04062" w:rsidRPr="008B30C6" w:rsidRDefault="00B04062" w:rsidP="00A96A5A">
            <w:pPr>
              <w:rPr>
                <w:b/>
                <w:bCs/>
              </w:rPr>
            </w:pPr>
            <w:r w:rsidRPr="008B30C6">
              <w:rPr>
                <w:b/>
                <w:bCs/>
              </w:rPr>
              <w:t>Total number of initiatives</w:t>
            </w:r>
          </w:p>
        </w:tc>
      </w:tr>
      <w:tr w:rsidR="00E428DD" w14:paraId="31754BD3" w14:textId="36427B8F" w:rsidTr="007217D8">
        <w:tc>
          <w:tcPr>
            <w:tcW w:w="1427" w:type="dxa"/>
            <w:vMerge/>
          </w:tcPr>
          <w:p w14:paraId="061EA71D" w14:textId="77777777" w:rsidR="00B04062" w:rsidRDefault="00B04062" w:rsidP="00A96A5A"/>
        </w:tc>
        <w:tc>
          <w:tcPr>
            <w:tcW w:w="1215" w:type="dxa"/>
            <w:tcBorders>
              <w:top w:val="single" w:sz="24" w:space="0" w:color="00B0F0"/>
              <w:left w:val="single" w:sz="8" w:space="0" w:color="D0CECE" w:themeColor="background2" w:themeShade="E6"/>
              <w:bottom w:val="single" w:sz="24" w:space="0" w:color="00B0F0"/>
              <w:right w:val="single" w:sz="8" w:space="0" w:color="D0CECE" w:themeColor="background2" w:themeShade="E6"/>
            </w:tcBorders>
          </w:tcPr>
          <w:p w14:paraId="60FDC0D3" w14:textId="4857E396" w:rsidR="00B04062" w:rsidRPr="008B30C6" w:rsidRDefault="00B04062" w:rsidP="00A96A5A">
            <w:pPr>
              <w:rPr>
                <w:b/>
                <w:bCs/>
              </w:rPr>
            </w:pPr>
            <w:r w:rsidRPr="008B30C6">
              <w:rPr>
                <w:b/>
                <w:bCs/>
              </w:rPr>
              <w:t>&lt;6 months</w:t>
            </w:r>
          </w:p>
        </w:tc>
        <w:tc>
          <w:tcPr>
            <w:tcW w:w="1215" w:type="dxa"/>
            <w:tcBorders>
              <w:top w:val="single" w:sz="24" w:space="0" w:color="00B0F0"/>
              <w:left w:val="single" w:sz="8" w:space="0" w:color="D0CECE" w:themeColor="background2" w:themeShade="E6"/>
              <w:bottom w:val="single" w:sz="24" w:space="0" w:color="00B0F0"/>
              <w:right w:val="single" w:sz="8" w:space="0" w:color="D0CECE" w:themeColor="background2" w:themeShade="E6"/>
            </w:tcBorders>
          </w:tcPr>
          <w:p w14:paraId="01DB4ED3" w14:textId="53BBE2FF" w:rsidR="00B04062" w:rsidRPr="008B30C6" w:rsidRDefault="00B04062" w:rsidP="00A96A5A">
            <w:pPr>
              <w:rPr>
                <w:b/>
                <w:bCs/>
              </w:rPr>
            </w:pPr>
            <w:r w:rsidRPr="008B30C6">
              <w:rPr>
                <w:b/>
                <w:bCs/>
              </w:rPr>
              <w:t>6-12 months</w:t>
            </w:r>
          </w:p>
        </w:tc>
        <w:tc>
          <w:tcPr>
            <w:tcW w:w="1214" w:type="dxa"/>
            <w:tcBorders>
              <w:top w:val="single" w:sz="24" w:space="0" w:color="00B0F0"/>
              <w:left w:val="single" w:sz="8" w:space="0" w:color="D0CECE" w:themeColor="background2" w:themeShade="E6"/>
              <w:bottom w:val="single" w:sz="24" w:space="0" w:color="00B0F0"/>
              <w:right w:val="single" w:sz="8" w:space="0" w:color="D0CECE" w:themeColor="background2" w:themeShade="E6"/>
            </w:tcBorders>
          </w:tcPr>
          <w:p w14:paraId="556BA4E8" w14:textId="460544E8" w:rsidR="00B04062" w:rsidRPr="008B30C6" w:rsidRDefault="00B04062" w:rsidP="00A96A5A">
            <w:pPr>
              <w:rPr>
                <w:b/>
                <w:bCs/>
              </w:rPr>
            </w:pPr>
            <w:r w:rsidRPr="008B30C6">
              <w:rPr>
                <w:b/>
                <w:bCs/>
              </w:rPr>
              <w:t>1-2 years</w:t>
            </w:r>
          </w:p>
        </w:tc>
        <w:tc>
          <w:tcPr>
            <w:tcW w:w="1214" w:type="dxa"/>
            <w:tcBorders>
              <w:top w:val="single" w:sz="24" w:space="0" w:color="00B0F0"/>
              <w:left w:val="single" w:sz="8" w:space="0" w:color="D0CECE" w:themeColor="background2" w:themeShade="E6"/>
              <w:bottom w:val="single" w:sz="24" w:space="0" w:color="00B0F0"/>
              <w:right w:val="single" w:sz="8" w:space="0" w:color="D0CECE" w:themeColor="background2" w:themeShade="E6"/>
            </w:tcBorders>
          </w:tcPr>
          <w:p w14:paraId="1DA2313A" w14:textId="1F5E2C79" w:rsidR="00B04062" w:rsidRPr="008B30C6" w:rsidRDefault="00B04062" w:rsidP="00A96A5A">
            <w:pPr>
              <w:rPr>
                <w:b/>
                <w:bCs/>
              </w:rPr>
            </w:pPr>
            <w:r w:rsidRPr="008B30C6">
              <w:rPr>
                <w:b/>
                <w:bCs/>
              </w:rPr>
              <w:t>2-4 years</w:t>
            </w:r>
          </w:p>
        </w:tc>
        <w:tc>
          <w:tcPr>
            <w:tcW w:w="1215" w:type="dxa"/>
            <w:tcBorders>
              <w:top w:val="single" w:sz="24" w:space="0" w:color="00B0F0"/>
              <w:left w:val="single" w:sz="8" w:space="0" w:color="D0CECE" w:themeColor="background2" w:themeShade="E6"/>
              <w:bottom w:val="single" w:sz="24" w:space="0" w:color="00B0F0"/>
              <w:right w:val="single" w:sz="8" w:space="0" w:color="D0CECE" w:themeColor="background2" w:themeShade="E6"/>
            </w:tcBorders>
          </w:tcPr>
          <w:p w14:paraId="7247397C" w14:textId="7A4F64CB" w:rsidR="00B04062" w:rsidRPr="008B30C6" w:rsidRDefault="00B04062" w:rsidP="00A96A5A">
            <w:pPr>
              <w:rPr>
                <w:b/>
                <w:bCs/>
              </w:rPr>
            </w:pPr>
            <w:r w:rsidRPr="008B30C6">
              <w:rPr>
                <w:b/>
                <w:bCs/>
              </w:rPr>
              <w:t>&gt;4 years</w:t>
            </w:r>
          </w:p>
        </w:tc>
        <w:tc>
          <w:tcPr>
            <w:tcW w:w="1840" w:type="dxa"/>
            <w:vMerge/>
          </w:tcPr>
          <w:p w14:paraId="2F8ADB11" w14:textId="77777777" w:rsidR="00B04062" w:rsidRDefault="00B04062" w:rsidP="00A96A5A"/>
        </w:tc>
      </w:tr>
      <w:tr w:rsidR="00E428DD" w14:paraId="335032FC" w14:textId="70E3F298" w:rsidTr="007217D8">
        <w:tc>
          <w:tcPr>
            <w:tcW w:w="1427" w:type="dxa"/>
            <w:tcBorders>
              <w:top w:val="single" w:sz="24" w:space="0" w:color="00B0F0"/>
              <w:left w:val="single" w:sz="8" w:space="0" w:color="D0CECE" w:themeColor="background2" w:themeShade="E6"/>
              <w:bottom w:val="single" w:sz="8" w:space="0" w:color="D0CECE" w:themeColor="background2" w:themeShade="E6"/>
              <w:right w:val="single" w:sz="8" w:space="0" w:color="D0CECE" w:themeColor="background2" w:themeShade="E6"/>
            </w:tcBorders>
          </w:tcPr>
          <w:p w14:paraId="7BEAA834" w14:textId="5937B908" w:rsidR="00B04062" w:rsidRDefault="00B04062" w:rsidP="00A96A5A">
            <w:r>
              <w:t>Awareness raising</w:t>
            </w:r>
          </w:p>
        </w:tc>
        <w:tc>
          <w:tcPr>
            <w:tcW w:w="1215" w:type="dxa"/>
            <w:tcBorders>
              <w:top w:val="single" w:sz="24" w:space="0" w:color="00B0F0"/>
              <w:left w:val="single" w:sz="8" w:space="0" w:color="D0CECE" w:themeColor="background2" w:themeShade="E6"/>
              <w:bottom w:val="single" w:sz="8" w:space="0" w:color="D0CECE" w:themeColor="background2" w:themeShade="E6"/>
              <w:right w:val="single" w:sz="8" w:space="0" w:color="D0CECE" w:themeColor="background2" w:themeShade="E6"/>
            </w:tcBorders>
          </w:tcPr>
          <w:p w14:paraId="7443C8D3" w14:textId="61E6137B" w:rsidR="00B04062" w:rsidRDefault="00B04062" w:rsidP="00A96A5A">
            <w:r>
              <w:t>1</w:t>
            </w:r>
            <w:r w:rsidR="005D2C9C">
              <w:t>0</w:t>
            </w:r>
            <w:r>
              <w:t>%</w:t>
            </w:r>
          </w:p>
        </w:tc>
        <w:tc>
          <w:tcPr>
            <w:tcW w:w="1215" w:type="dxa"/>
            <w:tcBorders>
              <w:top w:val="single" w:sz="24" w:space="0" w:color="00B0F0"/>
              <w:left w:val="single" w:sz="8" w:space="0" w:color="D0CECE" w:themeColor="background2" w:themeShade="E6"/>
              <w:bottom w:val="single" w:sz="8" w:space="0" w:color="D0CECE" w:themeColor="background2" w:themeShade="E6"/>
              <w:right w:val="single" w:sz="8" w:space="0" w:color="D0CECE" w:themeColor="background2" w:themeShade="E6"/>
            </w:tcBorders>
          </w:tcPr>
          <w:p w14:paraId="677C4342" w14:textId="2EA2CB67" w:rsidR="00B04062" w:rsidRDefault="009B3BA4" w:rsidP="00A96A5A">
            <w:r>
              <w:t>9</w:t>
            </w:r>
            <w:r w:rsidR="00B04062">
              <w:t>%</w:t>
            </w:r>
          </w:p>
        </w:tc>
        <w:tc>
          <w:tcPr>
            <w:tcW w:w="1214" w:type="dxa"/>
            <w:tcBorders>
              <w:top w:val="single" w:sz="24" w:space="0" w:color="00B0F0"/>
              <w:left w:val="single" w:sz="8" w:space="0" w:color="D0CECE" w:themeColor="background2" w:themeShade="E6"/>
              <w:bottom w:val="single" w:sz="8" w:space="0" w:color="D0CECE" w:themeColor="background2" w:themeShade="E6"/>
              <w:right w:val="single" w:sz="8" w:space="0" w:color="D0CECE" w:themeColor="background2" w:themeShade="E6"/>
            </w:tcBorders>
          </w:tcPr>
          <w:p w14:paraId="252D1784" w14:textId="79BA1127" w:rsidR="00B04062" w:rsidRDefault="00B04062" w:rsidP="00A96A5A">
            <w:r>
              <w:t>1</w:t>
            </w:r>
            <w:r w:rsidR="001743EC">
              <w:t>9</w:t>
            </w:r>
            <w:r>
              <w:t>%</w:t>
            </w:r>
          </w:p>
        </w:tc>
        <w:tc>
          <w:tcPr>
            <w:tcW w:w="1214" w:type="dxa"/>
            <w:tcBorders>
              <w:top w:val="single" w:sz="24" w:space="0" w:color="00B0F0"/>
              <w:left w:val="single" w:sz="8" w:space="0" w:color="D0CECE" w:themeColor="background2" w:themeShade="E6"/>
              <w:bottom w:val="single" w:sz="8" w:space="0" w:color="D0CECE" w:themeColor="background2" w:themeShade="E6"/>
              <w:right w:val="single" w:sz="8" w:space="0" w:color="D0CECE" w:themeColor="background2" w:themeShade="E6"/>
            </w:tcBorders>
          </w:tcPr>
          <w:p w14:paraId="4DEBE2F1" w14:textId="46860AF9" w:rsidR="00B04062" w:rsidRDefault="00B04062" w:rsidP="00A96A5A">
            <w:r>
              <w:t>2</w:t>
            </w:r>
            <w:r w:rsidR="001743EC">
              <w:t>9</w:t>
            </w:r>
            <w:r>
              <w:t>%</w:t>
            </w:r>
          </w:p>
        </w:tc>
        <w:tc>
          <w:tcPr>
            <w:tcW w:w="1215" w:type="dxa"/>
            <w:tcBorders>
              <w:top w:val="single" w:sz="24" w:space="0" w:color="00B0F0"/>
              <w:left w:val="single" w:sz="8" w:space="0" w:color="D0CECE" w:themeColor="background2" w:themeShade="E6"/>
              <w:bottom w:val="single" w:sz="8" w:space="0" w:color="D0CECE" w:themeColor="background2" w:themeShade="E6"/>
              <w:right w:val="single" w:sz="8" w:space="0" w:color="D0CECE" w:themeColor="background2" w:themeShade="E6"/>
            </w:tcBorders>
          </w:tcPr>
          <w:p w14:paraId="6D6E1608" w14:textId="1D388C22" w:rsidR="00B04062" w:rsidRDefault="001743EC" w:rsidP="00A96A5A">
            <w:r>
              <w:t>33</w:t>
            </w:r>
            <w:r w:rsidR="00B04062">
              <w:t>%</w:t>
            </w:r>
          </w:p>
        </w:tc>
        <w:tc>
          <w:tcPr>
            <w:tcW w:w="1840" w:type="dxa"/>
            <w:tcBorders>
              <w:top w:val="single" w:sz="24" w:space="0" w:color="00B0F0"/>
              <w:left w:val="single" w:sz="8" w:space="0" w:color="D0CECE" w:themeColor="background2" w:themeShade="E6"/>
              <w:bottom w:val="single" w:sz="8" w:space="0" w:color="D0CECE" w:themeColor="background2" w:themeShade="E6"/>
              <w:right w:val="single" w:sz="8" w:space="0" w:color="D0CECE" w:themeColor="background2" w:themeShade="E6"/>
            </w:tcBorders>
          </w:tcPr>
          <w:p w14:paraId="73DEA907" w14:textId="0F154D84" w:rsidR="00B04062" w:rsidRDefault="000F1F27" w:rsidP="00A96A5A">
            <w:r>
              <w:t>63</w:t>
            </w:r>
          </w:p>
        </w:tc>
      </w:tr>
      <w:tr w:rsidR="00E428DD" w14:paraId="2D33BBC8" w14:textId="5D0D45C2" w:rsidTr="007217D8">
        <w:tc>
          <w:tcPr>
            <w:tcW w:w="1427" w:type="dxa"/>
            <w:tcBorders>
              <w:top w:val="single" w:sz="8" w:space="0" w:color="D0CECE" w:themeColor="background2" w:themeShade="E6"/>
              <w:left w:val="single" w:sz="8" w:space="0" w:color="D0CECE" w:themeColor="background2" w:themeShade="E6"/>
              <w:bottom w:val="single" w:sz="8" w:space="0" w:color="D0CECE" w:themeColor="background2" w:themeShade="E6"/>
              <w:right w:val="single" w:sz="8" w:space="0" w:color="D0CECE" w:themeColor="background2" w:themeShade="E6"/>
            </w:tcBorders>
          </w:tcPr>
          <w:p w14:paraId="26C0AD9D" w14:textId="04F58C38" w:rsidR="00B04062" w:rsidRDefault="00B04062" w:rsidP="00A96A5A">
            <w:r>
              <w:t>Upskilling the workforce</w:t>
            </w:r>
          </w:p>
        </w:tc>
        <w:tc>
          <w:tcPr>
            <w:tcW w:w="1215" w:type="dxa"/>
            <w:tcBorders>
              <w:top w:val="single" w:sz="8" w:space="0" w:color="D0CECE" w:themeColor="background2" w:themeShade="E6"/>
              <w:left w:val="single" w:sz="8" w:space="0" w:color="D0CECE" w:themeColor="background2" w:themeShade="E6"/>
              <w:bottom w:val="single" w:sz="8" w:space="0" w:color="D0CECE" w:themeColor="background2" w:themeShade="E6"/>
              <w:right w:val="single" w:sz="8" w:space="0" w:color="D0CECE" w:themeColor="background2" w:themeShade="E6"/>
            </w:tcBorders>
          </w:tcPr>
          <w:p w14:paraId="48D11F20" w14:textId="741C4FAF" w:rsidR="00B04062" w:rsidRDefault="005D2C9C" w:rsidP="00A96A5A">
            <w:r>
              <w:t>7</w:t>
            </w:r>
            <w:r w:rsidR="00893FAB">
              <w:t>%</w:t>
            </w:r>
          </w:p>
        </w:tc>
        <w:tc>
          <w:tcPr>
            <w:tcW w:w="1215" w:type="dxa"/>
            <w:tcBorders>
              <w:top w:val="single" w:sz="8" w:space="0" w:color="D0CECE" w:themeColor="background2" w:themeShade="E6"/>
              <w:left w:val="single" w:sz="8" w:space="0" w:color="D0CECE" w:themeColor="background2" w:themeShade="E6"/>
              <w:bottom w:val="single" w:sz="8" w:space="0" w:color="D0CECE" w:themeColor="background2" w:themeShade="E6"/>
              <w:right w:val="single" w:sz="8" w:space="0" w:color="D0CECE" w:themeColor="background2" w:themeShade="E6"/>
            </w:tcBorders>
          </w:tcPr>
          <w:p w14:paraId="19A3E638" w14:textId="680F12BA" w:rsidR="00B04062" w:rsidRDefault="009B3BA4" w:rsidP="00A96A5A">
            <w:r>
              <w:t>7</w:t>
            </w:r>
            <w:r w:rsidR="0041586D">
              <w:t>%</w:t>
            </w:r>
          </w:p>
        </w:tc>
        <w:tc>
          <w:tcPr>
            <w:tcW w:w="1214" w:type="dxa"/>
            <w:tcBorders>
              <w:top w:val="single" w:sz="8" w:space="0" w:color="D0CECE" w:themeColor="background2" w:themeShade="E6"/>
              <w:left w:val="single" w:sz="8" w:space="0" w:color="D0CECE" w:themeColor="background2" w:themeShade="E6"/>
              <w:bottom w:val="single" w:sz="8" w:space="0" w:color="D0CECE" w:themeColor="background2" w:themeShade="E6"/>
              <w:right w:val="single" w:sz="8" w:space="0" w:color="D0CECE" w:themeColor="background2" w:themeShade="E6"/>
            </w:tcBorders>
          </w:tcPr>
          <w:p w14:paraId="3FC3B2C8" w14:textId="27CF3F65" w:rsidR="00B04062" w:rsidRDefault="00B04062" w:rsidP="00A96A5A">
            <w:r>
              <w:t>21%</w:t>
            </w:r>
          </w:p>
        </w:tc>
        <w:tc>
          <w:tcPr>
            <w:tcW w:w="1214" w:type="dxa"/>
            <w:tcBorders>
              <w:top w:val="single" w:sz="8" w:space="0" w:color="D0CECE" w:themeColor="background2" w:themeShade="E6"/>
              <w:left w:val="single" w:sz="8" w:space="0" w:color="D0CECE" w:themeColor="background2" w:themeShade="E6"/>
              <w:bottom w:val="single" w:sz="8" w:space="0" w:color="D0CECE" w:themeColor="background2" w:themeShade="E6"/>
              <w:right w:val="single" w:sz="8" w:space="0" w:color="D0CECE" w:themeColor="background2" w:themeShade="E6"/>
            </w:tcBorders>
          </w:tcPr>
          <w:p w14:paraId="51AE8496" w14:textId="386F99D1" w:rsidR="00B04062" w:rsidRDefault="00B04062" w:rsidP="00A96A5A">
            <w:r>
              <w:t>2</w:t>
            </w:r>
            <w:r w:rsidR="001743EC">
              <w:t>9</w:t>
            </w:r>
            <w:r>
              <w:t>%</w:t>
            </w:r>
          </w:p>
        </w:tc>
        <w:tc>
          <w:tcPr>
            <w:tcW w:w="1215" w:type="dxa"/>
            <w:tcBorders>
              <w:top w:val="single" w:sz="8" w:space="0" w:color="D0CECE" w:themeColor="background2" w:themeShade="E6"/>
              <w:left w:val="single" w:sz="8" w:space="0" w:color="D0CECE" w:themeColor="background2" w:themeShade="E6"/>
              <w:bottom w:val="single" w:sz="8" w:space="0" w:color="D0CECE" w:themeColor="background2" w:themeShade="E6"/>
              <w:right w:val="single" w:sz="8" w:space="0" w:color="D0CECE" w:themeColor="background2" w:themeShade="E6"/>
            </w:tcBorders>
          </w:tcPr>
          <w:p w14:paraId="2F2157D8" w14:textId="3D333766" w:rsidR="00B04062" w:rsidRDefault="00B04062" w:rsidP="00A96A5A">
            <w:r>
              <w:t>3</w:t>
            </w:r>
            <w:r w:rsidR="001743EC">
              <w:t>6</w:t>
            </w:r>
            <w:r>
              <w:t>%</w:t>
            </w:r>
          </w:p>
        </w:tc>
        <w:tc>
          <w:tcPr>
            <w:tcW w:w="1840" w:type="dxa"/>
            <w:tcBorders>
              <w:top w:val="single" w:sz="8" w:space="0" w:color="D0CECE" w:themeColor="background2" w:themeShade="E6"/>
              <w:left w:val="single" w:sz="8" w:space="0" w:color="D0CECE" w:themeColor="background2" w:themeShade="E6"/>
              <w:bottom w:val="single" w:sz="8" w:space="0" w:color="D0CECE" w:themeColor="background2" w:themeShade="E6"/>
              <w:right w:val="single" w:sz="8" w:space="0" w:color="D0CECE" w:themeColor="background2" w:themeShade="E6"/>
            </w:tcBorders>
          </w:tcPr>
          <w:p w14:paraId="613A1CC9" w14:textId="2DBD8FDA" w:rsidR="00B04062" w:rsidRDefault="000F1F27" w:rsidP="00A96A5A">
            <w:r>
              <w:t>36</w:t>
            </w:r>
          </w:p>
        </w:tc>
      </w:tr>
      <w:tr w:rsidR="00E428DD" w14:paraId="4AABCA08" w14:textId="092D0B59" w:rsidTr="007217D8">
        <w:tc>
          <w:tcPr>
            <w:tcW w:w="1427" w:type="dxa"/>
            <w:tcBorders>
              <w:top w:val="single" w:sz="8" w:space="0" w:color="D0CECE" w:themeColor="background2" w:themeShade="E6"/>
              <w:left w:val="single" w:sz="8" w:space="0" w:color="D0CECE" w:themeColor="background2" w:themeShade="E6"/>
              <w:bottom w:val="single" w:sz="8" w:space="0" w:color="D0CECE" w:themeColor="background2" w:themeShade="E6"/>
              <w:right w:val="single" w:sz="8" w:space="0" w:color="D0CECE" w:themeColor="background2" w:themeShade="E6"/>
            </w:tcBorders>
          </w:tcPr>
          <w:p w14:paraId="34B7B7FB" w14:textId="370D125D" w:rsidR="00B04062" w:rsidRDefault="00B04062" w:rsidP="00A96A5A">
            <w:r>
              <w:t xml:space="preserve">Community engagement and </w:t>
            </w:r>
            <w:proofErr w:type="spellStart"/>
            <w:r>
              <w:t>mobili</w:t>
            </w:r>
            <w:r w:rsidR="498BB3F8">
              <w:t>s</w:t>
            </w:r>
            <w:r>
              <w:t>ation</w:t>
            </w:r>
            <w:proofErr w:type="spellEnd"/>
          </w:p>
        </w:tc>
        <w:tc>
          <w:tcPr>
            <w:tcW w:w="1215" w:type="dxa"/>
            <w:tcBorders>
              <w:top w:val="single" w:sz="8" w:space="0" w:color="D0CECE" w:themeColor="background2" w:themeShade="E6"/>
              <w:left w:val="single" w:sz="8" w:space="0" w:color="D0CECE" w:themeColor="background2" w:themeShade="E6"/>
              <w:bottom w:val="single" w:sz="8" w:space="0" w:color="D0CECE" w:themeColor="background2" w:themeShade="E6"/>
              <w:right w:val="single" w:sz="8" w:space="0" w:color="D0CECE" w:themeColor="background2" w:themeShade="E6"/>
            </w:tcBorders>
          </w:tcPr>
          <w:p w14:paraId="0719E73D" w14:textId="4A3B7394" w:rsidR="00B04062" w:rsidRDefault="005D2C9C" w:rsidP="00A96A5A">
            <w:r>
              <w:t>11</w:t>
            </w:r>
            <w:r w:rsidR="00893FAB">
              <w:t>%</w:t>
            </w:r>
          </w:p>
        </w:tc>
        <w:tc>
          <w:tcPr>
            <w:tcW w:w="1215" w:type="dxa"/>
            <w:tcBorders>
              <w:top w:val="single" w:sz="8" w:space="0" w:color="D0CECE" w:themeColor="background2" w:themeShade="E6"/>
              <w:left w:val="single" w:sz="8" w:space="0" w:color="D0CECE" w:themeColor="background2" w:themeShade="E6"/>
              <w:bottom w:val="single" w:sz="8" w:space="0" w:color="D0CECE" w:themeColor="background2" w:themeShade="E6"/>
              <w:right w:val="single" w:sz="8" w:space="0" w:color="D0CECE" w:themeColor="background2" w:themeShade="E6"/>
            </w:tcBorders>
          </w:tcPr>
          <w:p w14:paraId="07C8B47A" w14:textId="4959E3D7" w:rsidR="00B04062" w:rsidRDefault="009B3BA4" w:rsidP="00A96A5A">
            <w:r>
              <w:t>4</w:t>
            </w:r>
            <w:r w:rsidR="0041586D">
              <w:t>%</w:t>
            </w:r>
          </w:p>
        </w:tc>
        <w:tc>
          <w:tcPr>
            <w:tcW w:w="1214" w:type="dxa"/>
            <w:tcBorders>
              <w:top w:val="single" w:sz="8" w:space="0" w:color="D0CECE" w:themeColor="background2" w:themeShade="E6"/>
              <w:left w:val="single" w:sz="8" w:space="0" w:color="D0CECE" w:themeColor="background2" w:themeShade="E6"/>
              <w:bottom w:val="single" w:sz="8" w:space="0" w:color="D0CECE" w:themeColor="background2" w:themeShade="E6"/>
              <w:right w:val="single" w:sz="8" w:space="0" w:color="D0CECE" w:themeColor="background2" w:themeShade="E6"/>
            </w:tcBorders>
          </w:tcPr>
          <w:p w14:paraId="39C07154" w14:textId="41DACB5E" w:rsidR="00B04062" w:rsidRDefault="00B04062" w:rsidP="00A96A5A">
            <w:r>
              <w:t>23%</w:t>
            </w:r>
          </w:p>
        </w:tc>
        <w:tc>
          <w:tcPr>
            <w:tcW w:w="1214" w:type="dxa"/>
            <w:tcBorders>
              <w:top w:val="single" w:sz="8" w:space="0" w:color="D0CECE" w:themeColor="background2" w:themeShade="E6"/>
              <w:left w:val="single" w:sz="8" w:space="0" w:color="D0CECE" w:themeColor="background2" w:themeShade="E6"/>
              <w:bottom w:val="single" w:sz="8" w:space="0" w:color="D0CECE" w:themeColor="background2" w:themeShade="E6"/>
              <w:right w:val="single" w:sz="8" w:space="0" w:color="D0CECE" w:themeColor="background2" w:themeShade="E6"/>
            </w:tcBorders>
          </w:tcPr>
          <w:p w14:paraId="26C88885" w14:textId="639EEBB3" w:rsidR="00B04062" w:rsidRDefault="00B04062" w:rsidP="00A96A5A">
            <w:r>
              <w:t>2</w:t>
            </w:r>
            <w:r w:rsidR="001743EC">
              <w:t>2</w:t>
            </w:r>
            <w:r>
              <w:t>%</w:t>
            </w:r>
          </w:p>
        </w:tc>
        <w:tc>
          <w:tcPr>
            <w:tcW w:w="1215" w:type="dxa"/>
            <w:tcBorders>
              <w:top w:val="single" w:sz="8" w:space="0" w:color="D0CECE" w:themeColor="background2" w:themeShade="E6"/>
              <w:left w:val="single" w:sz="8" w:space="0" w:color="D0CECE" w:themeColor="background2" w:themeShade="E6"/>
              <w:bottom w:val="single" w:sz="8" w:space="0" w:color="D0CECE" w:themeColor="background2" w:themeShade="E6"/>
              <w:right w:val="single" w:sz="8" w:space="0" w:color="D0CECE" w:themeColor="background2" w:themeShade="E6"/>
            </w:tcBorders>
          </w:tcPr>
          <w:p w14:paraId="762A2A75" w14:textId="0678950D" w:rsidR="00B04062" w:rsidRDefault="00B04062" w:rsidP="00A96A5A">
            <w:r>
              <w:t>3</w:t>
            </w:r>
            <w:r w:rsidR="001743EC">
              <w:t>9</w:t>
            </w:r>
            <w:r>
              <w:t>%</w:t>
            </w:r>
          </w:p>
        </w:tc>
        <w:tc>
          <w:tcPr>
            <w:tcW w:w="1840" w:type="dxa"/>
            <w:tcBorders>
              <w:top w:val="single" w:sz="8" w:space="0" w:color="D0CECE" w:themeColor="background2" w:themeShade="E6"/>
              <w:left w:val="single" w:sz="8" w:space="0" w:color="D0CECE" w:themeColor="background2" w:themeShade="E6"/>
              <w:bottom w:val="single" w:sz="8" w:space="0" w:color="D0CECE" w:themeColor="background2" w:themeShade="E6"/>
              <w:right w:val="single" w:sz="8" w:space="0" w:color="D0CECE" w:themeColor="background2" w:themeShade="E6"/>
            </w:tcBorders>
          </w:tcPr>
          <w:p w14:paraId="20190BCF" w14:textId="3ABF57B9" w:rsidR="00B04062" w:rsidRDefault="000F1F27" w:rsidP="00A96A5A">
            <w:r>
              <w:t>28</w:t>
            </w:r>
          </w:p>
        </w:tc>
      </w:tr>
      <w:tr w:rsidR="00E428DD" w14:paraId="27B21542" w14:textId="0015A7D5" w:rsidTr="007217D8">
        <w:tc>
          <w:tcPr>
            <w:tcW w:w="1427" w:type="dxa"/>
            <w:tcBorders>
              <w:top w:val="single" w:sz="8" w:space="0" w:color="D0CECE" w:themeColor="background2" w:themeShade="E6"/>
              <w:left w:val="single" w:sz="8" w:space="0" w:color="D0CECE" w:themeColor="background2" w:themeShade="E6"/>
              <w:bottom w:val="single" w:sz="8" w:space="0" w:color="D0CECE" w:themeColor="background2" w:themeShade="E6"/>
              <w:right w:val="single" w:sz="8" w:space="0" w:color="D0CECE" w:themeColor="background2" w:themeShade="E6"/>
            </w:tcBorders>
          </w:tcPr>
          <w:p w14:paraId="3B7274BD" w14:textId="09CD2FD3" w:rsidR="00B04062" w:rsidRDefault="00B04062" w:rsidP="00A96A5A">
            <w:r>
              <w:t>Organization policies</w:t>
            </w:r>
          </w:p>
        </w:tc>
        <w:tc>
          <w:tcPr>
            <w:tcW w:w="1215" w:type="dxa"/>
            <w:tcBorders>
              <w:top w:val="single" w:sz="8" w:space="0" w:color="D0CECE" w:themeColor="background2" w:themeShade="E6"/>
              <w:left w:val="single" w:sz="8" w:space="0" w:color="D0CECE" w:themeColor="background2" w:themeShade="E6"/>
              <w:bottom w:val="single" w:sz="8" w:space="0" w:color="D0CECE" w:themeColor="background2" w:themeShade="E6"/>
              <w:right w:val="single" w:sz="8" w:space="0" w:color="D0CECE" w:themeColor="background2" w:themeShade="E6"/>
            </w:tcBorders>
          </w:tcPr>
          <w:p w14:paraId="30F55CB7" w14:textId="26953E4A" w:rsidR="00B04062" w:rsidRDefault="005D2C9C" w:rsidP="00A96A5A">
            <w:r>
              <w:t>7</w:t>
            </w:r>
            <w:r w:rsidR="0041586D">
              <w:t>%</w:t>
            </w:r>
          </w:p>
        </w:tc>
        <w:tc>
          <w:tcPr>
            <w:tcW w:w="1215" w:type="dxa"/>
            <w:tcBorders>
              <w:top w:val="single" w:sz="8" w:space="0" w:color="D0CECE" w:themeColor="background2" w:themeShade="E6"/>
              <w:left w:val="single" w:sz="8" w:space="0" w:color="D0CECE" w:themeColor="background2" w:themeShade="E6"/>
              <w:bottom w:val="single" w:sz="8" w:space="0" w:color="D0CECE" w:themeColor="background2" w:themeShade="E6"/>
              <w:right w:val="single" w:sz="8" w:space="0" w:color="D0CECE" w:themeColor="background2" w:themeShade="E6"/>
            </w:tcBorders>
          </w:tcPr>
          <w:p w14:paraId="4FF29B17" w14:textId="79ED785A" w:rsidR="00B04062" w:rsidRDefault="009B3BA4" w:rsidP="00A96A5A">
            <w:r>
              <w:t>4%</w:t>
            </w:r>
          </w:p>
        </w:tc>
        <w:tc>
          <w:tcPr>
            <w:tcW w:w="1214" w:type="dxa"/>
            <w:tcBorders>
              <w:top w:val="single" w:sz="8" w:space="0" w:color="D0CECE" w:themeColor="background2" w:themeShade="E6"/>
              <w:left w:val="single" w:sz="8" w:space="0" w:color="D0CECE" w:themeColor="background2" w:themeShade="E6"/>
              <w:bottom w:val="single" w:sz="8" w:space="0" w:color="D0CECE" w:themeColor="background2" w:themeShade="E6"/>
              <w:right w:val="single" w:sz="8" w:space="0" w:color="D0CECE" w:themeColor="background2" w:themeShade="E6"/>
            </w:tcBorders>
          </w:tcPr>
          <w:p w14:paraId="2934AD8E" w14:textId="60E5E172" w:rsidR="00B04062" w:rsidRDefault="00B04062" w:rsidP="00A96A5A">
            <w:r>
              <w:t>3</w:t>
            </w:r>
            <w:r w:rsidR="009B3BA4">
              <w:t>0</w:t>
            </w:r>
            <w:r>
              <w:t>%</w:t>
            </w:r>
          </w:p>
        </w:tc>
        <w:tc>
          <w:tcPr>
            <w:tcW w:w="1214" w:type="dxa"/>
            <w:tcBorders>
              <w:top w:val="single" w:sz="8" w:space="0" w:color="D0CECE" w:themeColor="background2" w:themeShade="E6"/>
              <w:left w:val="single" w:sz="8" w:space="0" w:color="D0CECE" w:themeColor="background2" w:themeShade="E6"/>
              <w:bottom w:val="single" w:sz="8" w:space="0" w:color="D0CECE" w:themeColor="background2" w:themeShade="E6"/>
              <w:right w:val="single" w:sz="8" w:space="0" w:color="D0CECE" w:themeColor="background2" w:themeShade="E6"/>
            </w:tcBorders>
          </w:tcPr>
          <w:p w14:paraId="64F2DF26" w14:textId="74CCCEB6" w:rsidR="00B04062" w:rsidRDefault="001743EC" w:rsidP="00A96A5A">
            <w:r>
              <w:t>17</w:t>
            </w:r>
            <w:r w:rsidR="004A48FA">
              <w:t>%</w:t>
            </w:r>
          </w:p>
        </w:tc>
        <w:tc>
          <w:tcPr>
            <w:tcW w:w="1215" w:type="dxa"/>
            <w:tcBorders>
              <w:top w:val="single" w:sz="8" w:space="0" w:color="D0CECE" w:themeColor="background2" w:themeShade="E6"/>
              <w:left w:val="single" w:sz="8" w:space="0" w:color="D0CECE" w:themeColor="background2" w:themeShade="E6"/>
              <w:bottom w:val="single" w:sz="8" w:space="0" w:color="D0CECE" w:themeColor="background2" w:themeShade="E6"/>
              <w:right w:val="single" w:sz="8" w:space="0" w:color="D0CECE" w:themeColor="background2" w:themeShade="E6"/>
            </w:tcBorders>
          </w:tcPr>
          <w:p w14:paraId="5467A858" w14:textId="154E8FDB" w:rsidR="00B04062" w:rsidRDefault="001743EC" w:rsidP="00A96A5A">
            <w:r>
              <w:t>42</w:t>
            </w:r>
            <w:r w:rsidR="00B04062">
              <w:t>%</w:t>
            </w:r>
          </w:p>
        </w:tc>
        <w:tc>
          <w:tcPr>
            <w:tcW w:w="1840" w:type="dxa"/>
            <w:tcBorders>
              <w:top w:val="single" w:sz="8" w:space="0" w:color="D0CECE" w:themeColor="background2" w:themeShade="E6"/>
              <w:left w:val="single" w:sz="8" w:space="0" w:color="D0CECE" w:themeColor="background2" w:themeShade="E6"/>
              <w:bottom w:val="single" w:sz="8" w:space="0" w:color="D0CECE" w:themeColor="background2" w:themeShade="E6"/>
              <w:right w:val="single" w:sz="8" w:space="0" w:color="D0CECE" w:themeColor="background2" w:themeShade="E6"/>
            </w:tcBorders>
          </w:tcPr>
          <w:p w14:paraId="59D44F53" w14:textId="48067735" w:rsidR="00B04062" w:rsidRDefault="00C2525A" w:rsidP="00A96A5A">
            <w:r>
              <w:t>1</w:t>
            </w:r>
            <w:r w:rsidR="000F1F27">
              <w:t>5</w:t>
            </w:r>
          </w:p>
        </w:tc>
      </w:tr>
      <w:tr w:rsidR="00E428DD" w14:paraId="20FC6E38" w14:textId="0754CC25" w:rsidTr="007217D8">
        <w:tc>
          <w:tcPr>
            <w:tcW w:w="1427" w:type="dxa"/>
            <w:tcBorders>
              <w:top w:val="single" w:sz="8" w:space="0" w:color="D0CECE" w:themeColor="background2" w:themeShade="E6"/>
              <w:left w:val="single" w:sz="8" w:space="0" w:color="D0CECE" w:themeColor="background2" w:themeShade="E6"/>
              <w:bottom w:val="single" w:sz="8" w:space="0" w:color="D0CECE" w:themeColor="background2" w:themeShade="E6"/>
              <w:right w:val="single" w:sz="8" w:space="0" w:color="D0CECE" w:themeColor="background2" w:themeShade="E6"/>
            </w:tcBorders>
          </w:tcPr>
          <w:p w14:paraId="75E63DEB" w14:textId="27398494" w:rsidR="00B04062" w:rsidRDefault="00B04062" w:rsidP="00A96A5A">
            <w:r>
              <w:t>Policy and regulation</w:t>
            </w:r>
          </w:p>
        </w:tc>
        <w:tc>
          <w:tcPr>
            <w:tcW w:w="1215" w:type="dxa"/>
            <w:tcBorders>
              <w:top w:val="single" w:sz="8" w:space="0" w:color="D0CECE" w:themeColor="background2" w:themeShade="E6"/>
              <w:left w:val="single" w:sz="8" w:space="0" w:color="D0CECE" w:themeColor="background2" w:themeShade="E6"/>
              <w:bottom w:val="single" w:sz="8" w:space="0" w:color="D0CECE" w:themeColor="background2" w:themeShade="E6"/>
              <w:right w:val="single" w:sz="8" w:space="0" w:color="D0CECE" w:themeColor="background2" w:themeShade="E6"/>
            </w:tcBorders>
          </w:tcPr>
          <w:p w14:paraId="1CE26260" w14:textId="38A2D497" w:rsidR="00B04062" w:rsidRDefault="005D2C9C" w:rsidP="00A96A5A">
            <w:r>
              <w:t>4</w:t>
            </w:r>
            <w:r w:rsidR="0041586D">
              <w:t>%</w:t>
            </w:r>
          </w:p>
        </w:tc>
        <w:tc>
          <w:tcPr>
            <w:tcW w:w="1215" w:type="dxa"/>
            <w:tcBorders>
              <w:top w:val="single" w:sz="8" w:space="0" w:color="D0CECE" w:themeColor="background2" w:themeShade="E6"/>
              <w:left w:val="single" w:sz="8" w:space="0" w:color="D0CECE" w:themeColor="background2" w:themeShade="E6"/>
              <w:bottom w:val="single" w:sz="8" w:space="0" w:color="D0CECE" w:themeColor="background2" w:themeShade="E6"/>
              <w:right w:val="single" w:sz="8" w:space="0" w:color="D0CECE" w:themeColor="background2" w:themeShade="E6"/>
            </w:tcBorders>
          </w:tcPr>
          <w:p w14:paraId="33E4B60C" w14:textId="788C1E80" w:rsidR="00B04062" w:rsidRDefault="0041586D" w:rsidP="00A96A5A">
            <w:r>
              <w:t>1</w:t>
            </w:r>
            <w:r w:rsidR="009B3BA4">
              <w:t>3</w:t>
            </w:r>
            <w:r>
              <w:t>%</w:t>
            </w:r>
          </w:p>
        </w:tc>
        <w:tc>
          <w:tcPr>
            <w:tcW w:w="1214" w:type="dxa"/>
            <w:tcBorders>
              <w:top w:val="single" w:sz="8" w:space="0" w:color="D0CECE" w:themeColor="background2" w:themeShade="E6"/>
              <w:left w:val="single" w:sz="8" w:space="0" w:color="D0CECE" w:themeColor="background2" w:themeShade="E6"/>
              <w:bottom w:val="single" w:sz="8" w:space="0" w:color="D0CECE" w:themeColor="background2" w:themeShade="E6"/>
              <w:right w:val="single" w:sz="8" w:space="0" w:color="D0CECE" w:themeColor="background2" w:themeShade="E6"/>
            </w:tcBorders>
          </w:tcPr>
          <w:p w14:paraId="6828B489" w14:textId="23B6B64B" w:rsidR="00B04062" w:rsidRDefault="009B3BA4" w:rsidP="00A96A5A">
            <w:r>
              <w:t>19</w:t>
            </w:r>
            <w:r w:rsidR="00B04062">
              <w:t>%</w:t>
            </w:r>
          </w:p>
        </w:tc>
        <w:tc>
          <w:tcPr>
            <w:tcW w:w="1214" w:type="dxa"/>
            <w:tcBorders>
              <w:top w:val="single" w:sz="8" w:space="0" w:color="D0CECE" w:themeColor="background2" w:themeShade="E6"/>
              <w:left w:val="single" w:sz="8" w:space="0" w:color="D0CECE" w:themeColor="background2" w:themeShade="E6"/>
              <w:bottom w:val="single" w:sz="8" w:space="0" w:color="D0CECE" w:themeColor="background2" w:themeShade="E6"/>
              <w:right w:val="single" w:sz="8" w:space="0" w:color="D0CECE" w:themeColor="background2" w:themeShade="E6"/>
            </w:tcBorders>
          </w:tcPr>
          <w:p w14:paraId="7CA2E53A" w14:textId="0ECB7E7D" w:rsidR="00B04062" w:rsidRDefault="00B04062" w:rsidP="00A96A5A">
            <w:r>
              <w:t>2</w:t>
            </w:r>
            <w:r w:rsidR="001743EC">
              <w:t>7</w:t>
            </w:r>
            <w:r>
              <w:t>%</w:t>
            </w:r>
          </w:p>
        </w:tc>
        <w:tc>
          <w:tcPr>
            <w:tcW w:w="1215" w:type="dxa"/>
            <w:tcBorders>
              <w:top w:val="single" w:sz="8" w:space="0" w:color="D0CECE" w:themeColor="background2" w:themeShade="E6"/>
              <w:left w:val="single" w:sz="8" w:space="0" w:color="D0CECE" w:themeColor="background2" w:themeShade="E6"/>
              <w:bottom w:val="single" w:sz="8" w:space="0" w:color="D0CECE" w:themeColor="background2" w:themeShade="E6"/>
              <w:right w:val="single" w:sz="8" w:space="0" w:color="D0CECE" w:themeColor="background2" w:themeShade="E6"/>
            </w:tcBorders>
          </w:tcPr>
          <w:p w14:paraId="1040CCC5" w14:textId="007AF3AB" w:rsidR="00B04062" w:rsidRDefault="001743EC" w:rsidP="00A96A5A">
            <w:r>
              <w:t>36</w:t>
            </w:r>
            <w:r w:rsidR="00B04062">
              <w:t>%</w:t>
            </w:r>
          </w:p>
        </w:tc>
        <w:tc>
          <w:tcPr>
            <w:tcW w:w="1840" w:type="dxa"/>
            <w:tcBorders>
              <w:top w:val="single" w:sz="8" w:space="0" w:color="D0CECE" w:themeColor="background2" w:themeShade="E6"/>
              <w:left w:val="single" w:sz="8" w:space="0" w:color="D0CECE" w:themeColor="background2" w:themeShade="E6"/>
              <w:bottom w:val="single" w:sz="8" w:space="0" w:color="D0CECE" w:themeColor="background2" w:themeShade="E6"/>
              <w:right w:val="single" w:sz="8" w:space="0" w:color="D0CECE" w:themeColor="background2" w:themeShade="E6"/>
            </w:tcBorders>
          </w:tcPr>
          <w:p w14:paraId="5B28699A" w14:textId="45C94F90" w:rsidR="00B04062" w:rsidRDefault="000F1F27" w:rsidP="00A96A5A">
            <w:r>
              <w:t>23</w:t>
            </w:r>
          </w:p>
        </w:tc>
      </w:tr>
      <w:tr w:rsidR="00E428DD" w14:paraId="39FA4237" w14:textId="1F1D01EF" w:rsidTr="007217D8">
        <w:tc>
          <w:tcPr>
            <w:tcW w:w="1427" w:type="dxa"/>
            <w:tcBorders>
              <w:top w:val="single" w:sz="8" w:space="0" w:color="D0CECE" w:themeColor="background2" w:themeShade="E6"/>
              <w:left w:val="single" w:sz="8" w:space="0" w:color="D0CECE" w:themeColor="background2" w:themeShade="E6"/>
              <w:bottom w:val="single" w:sz="8" w:space="0" w:color="D0CECE" w:themeColor="background2" w:themeShade="E6"/>
              <w:right w:val="single" w:sz="8" w:space="0" w:color="D0CECE" w:themeColor="background2" w:themeShade="E6"/>
            </w:tcBorders>
          </w:tcPr>
          <w:p w14:paraId="1EB210E9" w14:textId="77777777" w:rsidR="00B04062" w:rsidRDefault="00B04062" w:rsidP="00A96A5A">
            <w:r>
              <w:t>Research</w:t>
            </w:r>
          </w:p>
          <w:p w14:paraId="0F1D2D38" w14:textId="0A7AA900" w:rsidR="00231F4D" w:rsidRDefault="00231F4D" w:rsidP="00A96A5A"/>
        </w:tc>
        <w:tc>
          <w:tcPr>
            <w:tcW w:w="1215" w:type="dxa"/>
            <w:tcBorders>
              <w:top w:val="single" w:sz="8" w:space="0" w:color="D0CECE" w:themeColor="background2" w:themeShade="E6"/>
              <w:left w:val="single" w:sz="8" w:space="0" w:color="D0CECE" w:themeColor="background2" w:themeShade="E6"/>
              <w:bottom w:val="single" w:sz="8" w:space="0" w:color="D0CECE" w:themeColor="background2" w:themeShade="E6"/>
              <w:right w:val="single" w:sz="8" w:space="0" w:color="D0CECE" w:themeColor="background2" w:themeShade="E6"/>
            </w:tcBorders>
          </w:tcPr>
          <w:p w14:paraId="6D5C6CC5" w14:textId="77777777" w:rsidR="00B04062" w:rsidRDefault="00B04062" w:rsidP="00A96A5A"/>
        </w:tc>
        <w:tc>
          <w:tcPr>
            <w:tcW w:w="1215" w:type="dxa"/>
            <w:tcBorders>
              <w:top w:val="single" w:sz="8" w:space="0" w:color="D0CECE" w:themeColor="background2" w:themeShade="E6"/>
              <w:left w:val="single" w:sz="8" w:space="0" w:color="D0CECE" w:themeColor="background2" w:themeShade="E6"/>
              <w:bottom w:val="single" w:sz="8" w:space="0" w:color="D0CECE" w:themeColor="background2" w:themeShade="E6"/>
              <w:right w:val="single" w:sz="8" w:space="0" w:color="D0CECE" w:themeColor="background2" w:themeShade="E6"/>
            </w:tcBorders>
          </w:tcPr>
          <w:p w14:paraId="0DC5C0F3" w14:textId="77777777" w:rsidR="00B04062" w:rsidRDefault="00B04062" w:rsidP="00A96A5A"/>
        </w:tc>
        <w:tc>
          <w:tcPr>
            <w:tcW w:w="1214" w:type="dxa"/>
            <w:tcBorders>
              <w:top w:val="single" w:sz="8" w:space="0" w:color="D0CECE" w:themeColor="background2" w:themeShade="E6"/>
              <w:left w:val="single" w:sz="8" w:space="0" w:color="D0CECE" w:themeColor="background2" w:themeShade="E6"/>
              <w:bottom w:val="single" w:sz="8" w:space="0" w:color="D0CECE" w:themeColor="background2" w:themeShade="E6"/>
              <w:right w:val="single" w:sz="8" w:space="0" w:color="D0CECE" w:themeColor="background2" w:themeShade="E6"/>
            </w:tcBorders>
          </w:tcPr>
          <w:p w14:paraId="7687D5A8" w14:textId="538B5145" w:rsidR="00B04062" w:rsidRDefault="009B3BA4" w:rsidP="00A96A5A">
            <w:r>
              <w:t>16</w:t>
            </w:r>
            <w:r w:rsidR="004A48FA">
              <w:t>%</w:t>
            </w:r>
          </w:p>
        </w:tc>
        <w:tc>
          <w:tcPr>
            <w:tcW w:w="1214" w:type="dxa"/>
            <w:tcBorders>
              <w:top w:val="single" w:sz="8" w:space="0" w:color="D0CECE" w:themeColor="background2" w:themeShade="E6"/>
              <w:left w:val="single" w:sz="8" w:space="0" w:color="D0CECE" w:themeColor="background2" w:themeShade="E6"/>
              <w:bottom w:val="single" w:sz="8" w:space="0" w:color="D0CECE" w:themeColor="background2" w:themeShade="E6"/>
              <w:right w:val="single" w:sz="8" w:space="0" w:color="D0CECE" w:themeColor="background2" w:themeShade="E6"/>
            </w:tcBorders>
          </w:tcPr>
          <w:p w14:paraId="541C94C0" w14:textId="77777777" w:rsidR="00B04062" w:rsidRDefault="00B04062" w:rsidP="00A96A5A"/>
        </w:tc>
        <w:tc>
          <w:tcPr>
            <w:tcW w:w="1215" w:type="dxa"/>
            <w:tcBorders>
              <w:top w:val="single" w:sz="8" w:space="0" w:color="D0CECE" w:themeColor="background2" w:themeShade="E6"/>
              <w:left w:val="single" w:sz="8" w:space="0" w:color="D0CECE" w:themeColor="background2" w:themeShade="E6"/>
              <w:bottom w:val="single" w:sz="8" w:space="0" w:color="D0CECE" w:themeColor="background2" w:themeShade="E6"/>
              <w:right w:val="single" w:sz="8" w:space="0" w:color="D0CECE" w:themeColor="background2" w:themeShade="E6"/>
            </w:tcBorders>
          </w:tcPr>
          <w:p w14:paraId="67837A5D" w14:textId="1C49D3EC" w:rsidR="00B04062" w:rsidRDefault="001743EC" w:rsidP="00A96A5A">
            <w:r>
              <w:t>84%</w:t>
            </w:r>
          </w:p>
        </w:tc>
        <w:tc>
          <w:tcPr>
            <w:tcW w:w="1840" w:type="dxa"/>
            <w:tcBorders>
              <w:top w:val="single" w:sz="8" w:space="0" w:color="D0CECE" w:themeColor="background2" w:themeShade="E6"/>
              <w:left w:val="single" w:sz="8" w:space="0" w:color="D0CECE" w:themeColor="background2" w:themeShade="E6"/>
              <w:bottom w:val="single" w:sz="8" w:space="0" w:color="D0CECE" w:themeColor="background2" w:themeShade="E6"/>
              <w:right w:val="single" w:sz="8" w:space="0" w:color="D0CECE" w:themeColor="background2" w:themeShade="E6"/>
            </w:tcBorders>
          </w:tcPr>
          <w:p w14:paraId="36DFF9E1" w14:textId="5941DD8E" w:rsidR="00B04062" w:rsidRDefault="000F1F27" w:rsidP="00A96A5A">
            <w:r>
              <w:t>3</w:t>
            </w:r>
          </w:p>
        </w:tc>
      </w:tr>
      <w:tr w:rsidR="00E428DD" w14:paraId="242D6287" w14:textId="77777777" w:rsidTr="007217D8">
        <w:tc>
          <w:tcPr>
            <w:tcW w:w="1427" w:type="dxa"/>
            <w:tcBorders>
              <w:top w:val="single" w:sz="8" w:space="0" w:color="D0CECE" w:themeColor="background2" w:themeShade="E6"/>
              <w:left w:val="single" w:sz="8" w:space="0" w:color="D0CECE" w:themeColor="background2" w:themeShade="E6"/>
              <w:bottom w:val="single" w:sz="8" w:space="0" w:color="D0CECE" w:themeColor="background2" w:themeShade="E6"/>
              <w:right w:val="single" w:sz="8" w:space="0" w:color="D0CECE" w:themeColor="background2" w:themeShade="E6"/>
            </w:tcBorders>
          </w:tcPr>
          <w:p w14:paraId="228D23F7" w14:textId="5832E67F" w:rsidR="004A48FA" w:rsidRPr="008B30C6" w:rsidRDefault="004A48FA" w:rsidP="00A96A5A">
            <w:pPr>
              <w:rPr>
                <w:b/>
                <w:bCs/>
              </w:rPr>
            </w:pPr>
            <w:r w:rsidRPr="008B30C6">
              <w:rPr>
                <w:b/>
                <w:bCs/>
              </w:rPr>
              <w:t>Total</w:t>
            </w:r>
          </w:p>
        </w:tc>
        <w:tc>
          <w:tcPr>
            <w:tcW w:w="1215" w:type="dxa"/>
            <w:tcBorders>
              <w:top w:val="single" w:sz="8" w:space="0" w:color="D0CECE" w:themeColor="background2" w:themeShade="E6"/>
              <w:left w:val="single" w:sz="8" w:space="0" w:color="D0CECE" w:themeColor="background2" w:themeShade="E6"/>
              <w:bottom w:val="single" w:sz="8" w:space="0" w:color="D0CECE" w:themeColor="background2" w:themeShade="E6"/>
              <w:right w:val="single" w:sz="8" w:space="0" w:color="D0CECE" w:themeColor="background2" w:themeShade="E6"/>
            </w:tcBorders>
          </w:tcPr>
          <w:p w14:paraId="1BA971A8" w14:textId="61B05003" w:rsidR="004A48FA" w:rsidRDefault="005D2C9C" w:rsidP="00A96A5A">
            <w:r>
              <w:t>8</w:t>
            </w:r>
            <w:r w:rsidR="004A48FA">
              <w:t>%</w:t>
            </w:r>
          </w:p>
        </w:tc>
        <w:tc>
          <w:tcPr>
            <w:tcW w:w="1215" w:type="dxa"/>
            <w:tcBorders>
              <w:top w:val="single" w:sz="8" w:space="0" w:color="D0CECE" w:themeColor="background2" w:themeShade="E6"/>
              <w:left w:val="single" w:sz="8" w:space="0" w:color="D0CECE" w:themeColor="background2" w:themeShade="E6"/>
              <w:bottom w:val="single" w:sz="8" w:space="0" w:color="D0CECE" w:themeColor="background2" w:themeShade="E6"/>
              <w:right w:val="single" w:sz="8" w:space="0" w:color="D0CECE" w:themeColor="background2" w:themeShade="E6"/>
            </w:tcBorders>
          </w:tcPr>
          <w:p w14:paraId="4E79F2FA" w14:textId="77D73C1A" w:rsidR="004A48FA" w:rsidRDefault="005D2C9C" w:rsidP="00A96A5A">
            <w:r>
              <w:t>8</w:t>
            </w:r>
            <w:r w:rsidR="004A48FA">
              <w:t>%</w:t>
            </w:r>
          </w:p>
        </w:tc>
        <w:tc>
          <w:tcPr>
            <w:tcW w:w="1214" w:type="dxa"/>
            <w:tcBorders>
              <w:top w:val="single" w:sz="8" w:space="0" w:color="D0CECE" w:themeColor="background2" w:themeShade="E6"/>
              <w:left w:val="single" w:sz="8" w:space="0" w:color="D0CECE" w:themeColor="background2" w:themeShade="E6"/>
              <w:bottom w:val="single" w:sz="8" w:space="0" w:color="D0CECE" w:themeColor="background2" w:themeShade="E6"/>
              <w:right w:val="single" w:sz="8" w:space="0" w:color="D0CECE" w:themeColor="background2" w:themeShade="E6"/>
            </w:tcBorders>
          </w:tcPr>
          <w:p w14:paraId="376B3C75" w14:textId="358E1F42" w:rsidR="004A48FA" w:rsidRDefault="004A48FA" w:rsidP="00A96A5A">
            <w:r>
              <w:t>2</w:t>
            </w:r>
            <w:r w:rsidR="005D2C9C">
              <w:t>1</w:t>
            </w:r>
            <w:r>
              <w:t>%</w:t>
            </w:r>
          </w:p>
        </w:tc>
        <w:tc>
          <w:tcPr>
            <w:tcW w:w="1214" w:type="dxa"/>
            <w:tcBorders>
              <w:top w:val="single" w:sz="8" w:space="0" w:color="D0CECE" w:themeColor="background2" w:themeShade="E6"/>
              <w:left w:val="single" w:sz="8" w:space="0" w:color="D0CECE" w:themeColor="background2" w:themeShade="E6"/>
              <w:bottom w:val="single" w:sz="8" w:space="0" w:color="D0CECE" w:themeColor="background2" w:themeShade="E6"/>
              <w:right w:val="single" w:sz="8" w:space="0" w:color="D0CECE" w:themeColor="background2" w:themeShade="E6"/>
            </w:tcBorders>
          </w:tcPr>
          <w:p w14:paraId="27FB33F7" w14:textId="69D9E76B" w:rsidR="004A48FA" w:rsidRDefault="004A48FA" w:rsidP="00A96A5A">
            <w:r>
              <w:t>2</w:t>
            </w:r>
            <w:r w:rsidR="005D2C9C">
              <w:t>6</w:t>
            </w:r>
            <w:r>
              <w:t>%</w:t>
            </w:r>
          </w:p>
        </w:tc>
        <w:tc>
          <w:tcPr>
            <w:tcW w:w="1215" w:type="dxa"/>
            <w:tcBorders>
              <w:top w:val="single" w:sz="8" w:space="0" w:color="D0CECE" w:themeColor="background2" w:themeShade="E6"/>
              <w:left w:val="single" w:sz="8" w:space="0" w:color="D0CECE" w:themeColor="background2" w:themeShade="E6"/>
              <w:bottom w:val="single" w:sz="8" w:space="0" w:color="D0CECE" w:themeColor="background2" w:themeShade="E6"/>
              <w:right w:val="single" w:sz="8" w:space="0" w:color="D0CECE" w:themeColor="background2" w:themeShade="E6"/>
            </w:tcBorders>
          </w:tcPr>
          <w:p w14:paraId="6B054DF0" w14:textId="23B863C3" w:rsidR="004A48FA" w:rsidRDefault="004A48FA" w:rsidP="00A96A5A">
            <w:r>
              <w:t>3</w:t>
            </w:r>
            <w:r w:rsidR="0047079F">
              <w:t>7</w:t>
            </w:r>
            <w:r>
              <w:t>%</w:t>
            </w:r>
          </w:p>
        </w:tc>
        <w:tc>
          <w:tcPr>
            <w:tcW w:w="1840" w:type="dxa"/>
            <w:tcBorders>
              <w:top w:val="single" w:sz="8" w:space="0" w:color="D0CECE" w:themeColor="background2" w:themeShade="E6"/>
              <w:left w:val="single" w:sz="8" w:space="0" w:color="D0CECE" w:themeColor="background2" w:themeShade="E6"/>
              <w:bottom w:val="single" w:sz="8" w:space="0" w:color="D0CECE" w:themeColor="background2" w:themeShade="E6"/>
              <w:right w:val="single" w:sz="8" w:space="0" w:color="D0CECE" w:themeColor="background2" w:themeShade="E6"/>
            </w:tcBorders>
          </w:tcPr>
          <w:p w14:paraId="458BEDC4" w14:textId="1547AF4D" w:rsidR="004A48FA" w:rsidRDefault="00C2525A" w:rsidP="00A96A5A">
            <w:r>
              <w:t>16</w:t>
            </w:r>
            <w:r w:rsidR="000F1F27">
              <w:t>8</w:t>
            </w:r>
          </w:p>
        </w:tc>
      </w:tr>
    </w:tbl>
    <w:p w14:paraId="57B1B919" w14:textId="77777777" w:rsidR="00D964DC" w:rsidRPr="00D964DC" w:rsidRDefault="00D964DC" w:rsidP="00D964DC">
      <w:pPr>
        <w:rPr>
          <w:lang w:val="en-AU"/>
        </w:rPr>
      </w:pPr>
      <w:r w:rsidRPr="00D964DC">
        <w:rPr>
          <w:lang w:val="en-AU"/>
        </w:rPr>
        <w:t xml:space="preserve">Source: N=168, Deloitte questionnaire, 2020. Note: Figures may not add to 100% due to labels being omitted. </w:t>
      </w:r>
    </w:p>
    <w:p w14:paraId="7F3373EF" w14:textId="1BB7BC3E" w:rsidR="00F45027" w:rsidRDefault="00F45027" w:rsidP="00A96A5A"/>
    <w:p w14:paraId="72BD662B" w14:textId="6705830B" w:rsidR="00FB5517" w:rsidRDefault="00FB5517" w:rsidP="00A96A5A"/>
    <w:p w14:paraId="0EAABB80" w14:textId="77777777" w:rsidR="0061371F" w:rsidRDefault="0061371F" w:rsidP="00A96A5A">
      <w:pPr>
        <w:rPr>
          <w:b/>
          <w:bCs/>
          <w:sz w:val="32"/>
          <w:szCs w:val="32"/>
        </w:rPr>
      </w:pPr>
      <w:r>
        <w:rPr>
          <w:b/>
          <w:bCs/>
          <w:sz w:val="32"/>
          <w:szCs w:val="32"/>
        </w:rPr>
        <w:br w:type="page"/>
      </w:r>
    </w:p>
    <w:p w14:paraId="59812DE9" w14:textId="07D47199" w:rsidR="00FB5517" w:rsidRDefault="00FB5517" w:rsidP="00A96A5A">
      <w:pPr>
        <w:rPr>
          <w:b/>
          <w:bCs/>
          <w:sz w:val="32"/>
          <w:szCs w:val="32"/>
        </w:rPr>
      </w:pPr>
      <w:r w:rsidRPr="00FB5517">
        <w:rPr>
          <w:b/>
          <w:bCs/>
          <w:sz w:val="32"/>
          <w:szCs w:val="32"/>
        </w:rPr>
        <w:lastRenderedPageBreak/>
        <w:t xml:space="preserve">Growing in </w:t>
      </w:r>
      <w:r w:rsidR="00200B89">
        <w:rPr>
          <w:b/>
          <w:bCs/>
          <w:sz w:val="32"/>
          <w:szCs w:val="32"/>
        </w:rPr>
        <w:t>m</w:t>
      </w:r>
      <w:r w:rsidRPr="00FB5517">
        <w:rPr>
          <w:b/>
          <w:bCs/>
          <w:sz w:val="32"/>
          <w:szCs w:val="32"/>
        </w:rPr>
        <w:t>aturity</w:t>
      </w:r>
    </w:p>
    <w:p w14:paraId="0D7563E7" w14:textId="7C16BFBD" w:rsidR="00FB5517" w:rsidRPr="00FB5517" w:rsidRDefault="00FB5517" w:rsidP="00FB5517">
      <w:pPr>
        <w:rPr>
          <w:lang w:val="en-AU"/>
        </w:rPr>
      </w:pPr>
      <w:r w:rsidRPr="6B49347C">
        <w:rPr>
          <w:lang w:val="en-AU"/>
        </w:rPr>
        <w:t>Th</w:t>
      </w:r>
      <w:r w:rsidR="51F9F7A4" w:rsidRPr="6B49347C">
        <w:rPr>
          <w:lang w:val="en-AU"/>
        </w:rPr>
        <w:t>is issue considers the</w:t>
      </w:r>
      <w:r w:rsidRPr="00FB5517">
        <w:rPr>
          <w:lang w:val="en-AU"/>
        </w:rPr>
        <w:t xml:space="preserve"> extent that primary prevention initiatives are informed by evidence of what works and are continuously evaluated and improved</w:t>
      </w:r>
      <w:r w:rsidR="00200B89">
        <w:rPr>
          <w:lang w:val="en-AU"/>
        </w:rPr>
        <w:t>.</w:t>
      </w:r>
    </w:p>
    <w:p w14:paraId="6FE2CB6C" w14:textId="77777777" w:rsidR="00E162FE" w:rsidRPr="00E162FE" w:rsidRDefault="00E162FE" w:rsidP="00E162FE">
      <w:pPr>
        <w:rPr>
          <w:lang w:val="en-AU"/>
        </w:rPr>
      </w:pPr>
      <w:r w:rsidRPr="00E162FE">
        <w:rPr>
          <w:b/>
          <w:bCs/>
          <w:lang w:val="en-AU"/>
        </w:rPr>
        <w:t xml:space="preserve">Limited levels of evaluation and reliance on evidence-based frameworks: </w:t>
      </w:r>
    </w:p>
    <w:p w14:paraId="15439212" w14:textId="7A8C413C" w:rsidR="003754B5" w:rsidRDefault="00E162FE" w:rsidP="003754B5">
      <w:pPr>
        <w:rPr>
          <w:lang w:val="en-AU"/>
        </w:rPr>
      </w:pPr>
      <w:r w:rsidRPr="00E162FE">
        <w:rPr>
          <w:lang w:val="en-AU"/>
        </w:rPr>
        <w:t xml:space="preserve">There are a very small number of initiatives that have been evaluated, limiting the evidence-base of best-practice </w:t>
      </w:r>
      <w:bookmarkStart w:id="0" w:name="_GoBack"/>
      <w:bookmarkEnd w:id="0"/>
      <w:r w:rsidRPr="00E162FE">
        <w:rPr>
          <w:lang w:val="en-AU"/>
        </w:rPr>
        <w:t>approaches in Australia. Few initiatives measure or target outcomes, due to difficulties in measurement of attitudes and behavioural change. Short term initiatives and funding were also raised as compounding reasons. In the questionnaire, 36% of participants reported evaluating their initiatives</w:t>
      </w:r>
      <w:r w:rsidR="00467B00">
        <w:rPr>
          <w:lang w:val="en-AU"/>
        </w:rPr>
        <w:t xml:space="preserve"> (</w:t>
      </w:r>
      <w:r w:rsidR="00467B00" w:rsidRPr="00467B00">
        <w:t>Source: N=152</w:t>
      </w:r>
      <w:r w:rsidR="00467B00">
        <w:t>, Deloitte questionnaire)</w:t>
      </w:r>
      <w:r w:rsidRPr="00E162FE">
        <w:rPr>
          <w:lang w:val="en-AU"/>
        </w:rPr>
        <w:t xml:space="preserve">. Longer standing initiatives tended to review and update their work less frequently. Further, </w:t>
      </w:r>
      <w:r w:rsidR="003754B5">
        <w:rPr>
          <w:lang w:val="en-AU"/>
        </w:rPr>
        <w:t>36</w:t>
      </w:r>
      <w:r w:rsidRPr="00667E2E">
        <w:rPr>
          <w:lang w:val="en-AU"/>
        </w:rPr>
        <w:t>%</w:t>
      </w:r>
      <w:r w:rsidRPr="00E162FE">
        <w:rPr>
          <w:lang w:val="en-AU"/>
        </w:rPr>
        <w:t xml:space="preserve"> of </w:t>
      </w:r>
      <w:r w:rsidR="005A012C">
        <w:rPr>
          <w:lang w:val="en-AU"/>
        </w:rPr>
        <w:t xml:space="preserve">questionnaire </w:t>
      </w:r>
      <w:r w:rsidRPr="00E162FE">
        <w:rPr>
          <w:lang w:val="en-AU"/>
        </w:rPr>
        <w:t>participants reported using established frameworks or existing programs to support development of their initiatives (</w:t>
      </w:r>
      <w:r>
        <w:rPr>
          <w:lang w:val="en-AU"/>
        </w:rPr>
        <w:t>Table</w:t>
      </w:r>
      <w:r w:rsidRPr="00E162FE">
        <w:rPr>
          <w:lang w:val="en-AU"/>
        </w:rPr>
        <w:t xml:space="preserve"> 6). </w:t>
      </w:r>
    </w:p>
    <w:p w14:paraId="195D0308" w14:textId="10B89BF4" w:rsidR="003754B5" w:rsidRPr="003754B5" w:rsidRDefault="003754B5" w:rsidP="003754B5">
      <w:r w:rsidRPr="003754B5">
        <w:rPr>
          <w:b/>
          <w:bCs/>
        </w:rPr>
        <w:t>Love Bites and Change the Story were the most cited existing program or framework used to design initiatives</w:t>
      </w:r>
    </w:p>
    <w:p w14:paraId="06C45A82" w14:textId="55673DC9" w:rsidR="00725DDD" w:rsidRDefault="003754B5" w:rsidP="003754B5">
      <w:r w:rsidRPr="003754B5">
        <w:rPr>
          <w:b/>
          <w:bCs/>
        </w:rPr>
        <w:t xml:space="preserve"> </w:t>
      </w:r>
      <w:r w:rsidR="00725DDD" w:rsidRPr="00725DDD">
        <w:rPr>
          <w:b/>
          <w:bCs/>
        </w:rPr>
        <w:t>Table 6</w:t>
      </w:r>
      <w:r w:rsidR="00725DDD">
        <w:t>: Age and review</w:t>
      </w:r>
    </w:p>
    <w:tbl>
      <w:tblPr>
        <w:tblW w:w="9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4"/>
        <w:gridCol w:w="1244"/>
        <w:gridCol w:w="1244"/>
        <w:gridCol w:w="1244"/>
        <w:gridCol w:w="1244"/>
        <w:gridCol w:w="1244"/>
        <w:gridCol w:w="1245"/>
      </w:tblGrid>
      <w:tr w:rsidR="00725DDD" w:rsidRPr="00725DDD" w14:paraId="202BD81E" w14:textId="77777777" w:rsidTr="00E428DD">
        <w:trPr>
          <w:trHeight w:val="470"/>
        </w:trPr>
        <w:tc>
          <w:tcPr>
            <w:tcW w:w="2074" w:type="dxa"/>
            <w:vMerge w:val="restart"/>
            <w:tcBorders>
              <w:top w:val="single" w:sz="24" w:space="0" w:color="00B0F0"/>
              <w:left w:val="single" w:sz="12" w:space="0" w:color="D0CECE" w:themeColor="background2" w:themeShade="E6"/>
              <w:right w:val="single" w:sz="12" w:space="0" w:color="D0CECE" w:themeColor="background2" w:themeShade="E6"/>
            </w:tcBorders>
            <w:hideMark/>
          </w:tcPr>
          <w:p w14:paraId="09500561" w14:textId="77777777" w:rsidR="00725DDD" w:rsidRPr="00F9320C" w:rsidRDefault="00725DDD" w:rsidP="00F9320C">
            <w:pPr>
              <w:rPr>
                <w:b/>
              </w:rPr>
            </w:pPr>
            <w:r w:rsidRPr="00F9320C">
              <w:rPr>
                <w:b/>
              </w:rPr>
              <w:t>AGE OF INITIATIVE</w:t>
            </w:r>
          </w:p>
        </w:tc>
        <w:tc>
          <w:tcPr>
            <w:tcW w:w="7465" w:type="dxa"/>
            <w:gridSpan w:val="6"/>
            <w:tcBorders>
              <w:top w:val="single" w:sz="24" w:space="0" w:color="00B0F0"/>
              <w:left w:val="single" w:sz="12" w:space="0" w:color="D0CECE" w:themeColor="background2" w:themeShade="E6"/>
              <w:bottom w:val="single" w:sz="24" w:space="0" w:color="00B0F0"/>
              <w:right w:val="single" w:sz="12" w:space="0" w:color="D0CECE" w:themeColor="background2" w:themeShade="E6"/>
            </w:tcBorders>
            <w:hideMark/>
          </w:tcPr>
          <w:p w14:paraId="5DEB1FB2" w14:textId="77777777" w:rsidR="00725DDD" w:rsidRPr="00F9320C" w:rsidRDefault="00725DDD" w:rsidP="00F9320C">
            <w:pPr>
              <w:rPr>
                <w:b/>
              </w:rPr>
            </w:pPr>
            <w:r w:rsidRPr="00F9320C">
              <w:rPr>
                <w:b/>
              </w:rPr>
              <w:t>FREQUENCY OF INITIATIVE UPDATES</w:t>
            </w:r>
          </w:p>
        </w:tc>
      </w:tr>
      <w:tr w:rsidR="00E428DD" w:rsidRPr="00725DDD" w14:paraId="57356121" w14:textId="77777777" w:rsidTr="00C13990">
        <w:trPr>
          <w:trHeight w:val="524"/>
        </w:trPr>
        <w:tc>
          <w:tcPr>
            <w:tcW w:w="2074" w:type="dxa"/>
            <w:vMerge/>
            <w:tcBorders>
              <w:left w:val="single" w:sz="12" w:space="0" w:color="D0CECE" w:themeColor="background2" w:themeShade="E6"/>
              <w:bottom w:val="single" w:sz="24" w:space="0" w:color="00B0F0"/>
              <w:right w:val="single" w:sz="12" w:space="0" w:color="D0CECE" w:themeColor="background2" w:themeShade="E6"/>
            </w:tcBorders>
            <w:hideMark/>
          </w:tcPr>
          <w:p w14:paraId="4D0EB251" w14:textId="77777777" w:rsidR="00725DDD" w:rsidRPr="00F9320C" w:rsidRDefault="00725DDD" w:rsidP="00F9320C">
            <w:pPr>
              <w:rPr>
                <w:b/>
              </w:rPr>
            </w:pPr>
          </w:p>
        </w:tc>
        <w:tc>
          <w:tcPr>
            <w:tcW w:w="1244" w:type="dxa"/>
            <w:tcBorders>
              <w:top w:val="single" w:sz="24" w:space="0" w:color="00B0F0"/>
              <w:left w:val="single" w:sz="12" w:space="0" w:color="D0CECE" w:themeColor="background2" w:themeShade="E6"/>
              <w:bottom w:val="single" w:sz="24" w:space="0" w:color="00B0F0"/>
              <w:right w:val="single" w:sz="12" w:space="0" w:color="D0CECE" w:themeColor="background2" w:themeShade="E6"/>
            </w:tcBorders>
            <w:hideMark/>
          </w:tcPr>
          <w:p w14:paraId="47DBA8D7" w14:textId="77777777" w:rsidR="00725DDD" w:rsidRPr="00F9320C" w:rsidRDefault="00725DDD" w:rsidP="00F9320C">
            <w:pPr>
              <w:rPr>
                <w:b/>
              </w:rPr>
            </w:pPr>
            <w:r w:rsidRPr="00F9320C">
              <w:rPr>
                <w:b/>
              </w:rPr>
              <w:t>Weekly or more</w:t>
            </w:r>
          </w:p>
        </w:tc>
        <w:tc>
          <w:tcPr>
            <w:tcW w:w="1244" w:type="dxa"/>
            <w:tcBorders>
              <w:top w:val="single" w:sz="24" w:space="0" w:color="00B0F0"/>
              <w:left w:val="single" w:sz="12" w:space="0" w:color="D0CECE" w:themeColor="background2" w:themeShade="E6"/>
              <w:bottom w:val="single" w:sz="24" w:space="0" w:color="00B0F0"/>
              <w:right w:val="single" w:sz="12" w:space="0" w:color="D0CECE" w:themeColor="background2" w:themeShade="E6"/>
            </w:tcBorders>
            <w:hideMark/>
          </w:tcPr>
          <w:p w14:paraId="50E90AA9" w14:textId="77777777" w:rsidR="00725DDD" w:rsidRPr="00F9320C" w:rsidRDefault="00725DDD" w:rsidP="00F9320C">
            <w:pPr>
              <w:rPr>
                <w:b/>
              </w:rPr>
            </w:pPr>
            <w:r w:rsidRPr="00F9320C">
              <w:rPr>
                <w:b/>
              </w:rPr>
              <w:t>Monthly</w:t>
            </w:r>
          </w:p>
        </w:tc>
        <w:tc>
          <w:tcPr>
            <w:tcW w:w="1244" w:type="dxa"/>
            <w:tcBorders>
              <w:top w:val="single" w:sz="24" w:space="0" w:color="00B0F0"/>
              <w:left w:val="single" w:sz="12" w:space="0" w:color="D0CECE" w:themeColor="background2" w:themeShade="E6"/>
              <w:bottom w:val="single" w:sz="24" w:space="0" w:color="00B0F0"/>
              <w:right w:val="single" w:sz="12" w:space="0" w:color="D0CECE" w:themeColor="background2" w:themeShade="E6"/>
            </w:tcBorders>
            <w:hideMark/>
          </w:tcPr>
          <w:p w14:paraId="174AC4F9" w14:textId="77777777" w:rsidR="00725DDD" w:rsidRPr="00F9320C" w:rsidRDefault="00725DDD" w:rsidP="00F9320C">
            <w:pPr>
              <w:rPr>
                <w:b/>
              </w:rPr>
            </w:pPr>
            <w:r w:rsidRPr="00F9320C">
              <w:rPr>
                <w:b/>
              </w:rPr>
              <w:t>Yearly</w:t>
            </w:r>
          </w:p>
        </w:tc>
        <w:tc>
          <w:tcPr>
            <w:tcW w:w="1244" w:type="dxa"/>
            <w:tcBorders>
              <w:top w:val="single" w:sz="24" w:space="0" w:color="00B0F0"/>
              <w:left w:val="single" w:sz="12" w:space="0" w:color="D0CECE" w:themeColor="background2" w:themeShade="E6"/>
              <w:bottom w:val="single" w:sz="24" w:space="0" w:color="00B0F0"/>
              <w:right w:val="single" w:sz="12" w:space="0" w:color="D0CECE" w:themeColor="background2" w:themeShade="E6"/>
            </w:tcBorders>
            <w:hideMark/>
          </w:tcPr>
          <w:p w14:paraId="2A733430" w14:textId="77777777" w:rsidR="00725DDD" w:rsidRPr="00F9320C" w:rsidRDefault="00725DDD" w:rsidP="00F9320C">
            <w:pPr>
              <w:rPr>
                <w:b/>
              </w:rPr>
            </w:pPr>
            <w:r w:rsidRPr="00F9320C">
              <w:rPr>
                <w:b/>
              </w:rPr>
              <w:t>Every 2-4 years</w:t>
            </w:r>
          </w:p>
        </w:tc>
        <w:tc>
          <w:tcPr>
            <w:tcW w:w="1244" w:type="dxa"/>
            <w:tcBorders>
              <w:top w:val="single" w:sz="24" w:space="0" w:color="00B0F0"/>
              <w:left w:val="single" w:sz="12" w:space="0" w:color="D0CECE" w:themeColor="background2" w:themeShade="E6"/>
              <w:bottom w:val="single" w:sz="24" w:space="0" w:color="00B0F0"/>
              <w:right w:val="single" w:sz="12" w:space="0" w:color="D0CECE" w:themeColor="background2" w:themeShade="E6"/>
            </w:tcBorders>
            <w:hideMark/>
          </w:tcPr>
          <w:p w14:paraId="20A5E3F7" w14:textId="77777777" w:rsidR="00725DDD" w:rsidRPr="00F9320C" w:rsidRDefault="00725DDD" w:rsidP="00F9320C">
            <w:pPr>
              <w:rPr>
                <w:b/>
              </w:rPr>
            </w:pPr>
            <w:r w:rsidRPr="00F9320C">
              <w:rPr>
                <w:b/>
              </w:rPr>
              <w:t xml:space="preserve">&lt; every 4 </w:t>
            </w:r>
            <w:r w:rsidRPr="00F9320C">
              <w:rPr>
                <w:b/>
              </w:rPr>
              <w:br/>
              <w:t>years</w:t>
            </w:r>
          </w:p>
        </w:tc>
        <w:tc>
          <w:tcPr>
            <w:tcW w:w="1245" w:type="dxa"/>
            <w:tcBorders>
              <w:top w:val="single" w:sz="24" w:space="0" w:color="00B0F0"/>
              <w:left w:val="single" w:sz="12" w:space="0" w:color="D0CECE" w:themeColor="background2" w:themeShade="E6"/>
              <w:bottom w:val="single" w:sz="24" w:space="0" w:color="00B0F0"/>
              <w:right w:val="single" w:sz="12" w:space="0" w:color="D0CECE" w:themeColor="background2" w:themeShade="E6"/>
            </w:tcBorders>
            <w:hideMark/>
          </w:tcPr>
          <w:p w14:paraId="17273BFF" w14:textId="77777777" w:rsidR="00725DDD" w:rsidRPr="00F9320C" w:rsidRDefault="00725DDD" w:rsidP="00F9320C">
            <w:pPr>
              <w:rPr>
                <w:b/>
              </w:rPr>
            </w:pPr>
            <w:r w:rsidRPr="00F9320C">
              <w:rPr>
                <w:b/>
              </w:rPr>
              <w:t>Total</w:t>
            </w:r>
          </w:p>
        </w:tc>
      </w:tr>
      <w:tr w:rsidR="00E428DD" w:rsidRPr="00725DDD" w14:paraId="64FA9DCA" w14:textId="77777777" w:rsidTr="00C13990">
        <w:trPr>
          <w:trHeight w:val="336"/>
        </w:trPr>
        <w:tc>
          <w:tcPr>
            <w:tcW w:w="2074" w:type="dxa"/>
            <w:tcBorders>
              <w:top w:val="single" w:sz="24" w:space="0" w:color="00B0F0"/>
              <w:left w:val="single" w:sz="12" w:space="0" w:color="D0CECE" w:themeColor="background2" w:themeShade="E6"/>
              <w:bottom w:val="single" w:sz="12" w:space="0" w:color="D0CECE" w:themeColor="background2" w:themeShade="E6"/>
              <w:right w:val="single" w:sz="12" w:space="0" w:color="D0CECE" w:themeColor="background2" w:themeShade="E6"/>
            </w:tcBorders>
            <w:hideMark/>
          </w:tcPr>
          <w:p w14:paraId="35DC115F" w14:textId="77777777" w:rsidR="00725DDD" w:rsidRPr="00F9320C" w:rsidRDefault="00725DDD" w:rsidP="0061371F">
            <w:pPr>
              <w:rPr>
                <w:b/>
              </w:rPr>
            </w:pPr>
            <w:r w:rsidRPr="00F9320C">
              <w:rPr>
                <w:b/>
              </w:rPr>
              <w:t>Less than six months</w:t>
            </w:r>
          </w:p>
        </w:tc>
        <w:tc>
          <w:tcPr>
            <w:tcW w:w="1244" w:type="dxa"/>
            <w:tcBorders>
              <w:top w:val="single" w:sz="24" w:space="0" w:color="00B0F0"/>
              <w:left w:val="single" w:sz="12" w:space="0" w:color="D0CECE" w:themeColor="background2" w:themeShade="E6"/>
              <w:bottom w:val="single" w:sz="12" w:space="0" w:color="D0CECE" w:themeColor="background2" w:themeShade="E6"/>
              <w:right w:val="single" w:sz="12" w:space="0" w:color="D0CECE" w:themeColor="background2" w:themeShade="E6"/>
            </w:tcBorders>
            <w:hideMark/>
          </w:tcPr>
          <w:p w14:paraId="56932FF1" w14:textId="77777777" w:rsidR="00725DDD" w:rsidRPr="00F9320C" w:rsidRDefault="00725DDD" w:rsidP="00F9320C">
            <w:r w:rsidRPr="00F9320C">
              <w:t>0</w:t>
            </w:r>
          </w:p>
        </w:tc>
        <w:tc>
          <w:tcPr>
            <w:tcW w:w="1244" w:type="dxa"/>
            <w:tcBorders>
              <w:top w:val="single" w:sz="24" w:space="0" w:color="00B0F0"/>
              <w:left w:val="single" w:sz="12" w:space="0" w:color="D0CECE" w:themeColor="background2" w:themeShade="E6"/>
              <w:bottom w:val="single" w:sz="12" w:space="0" w:color="D0CECE" w:themeColor="background2" w:themeShade="E6"/>
              <w:right w:val="single" w:sz="12" w:space="0" w:color="D0CECE" w:themeColor="background2" w:themeShade="E6"/>
            </w:tcBorders>
            <w:hideMark/>
          </w:tcPr>
          <w:p w14:paraId="67A326DC" w14:textId="77777777" w:rsidR="00725DDD" w:rsidRPr="00F9320C" w:rsidRDefault="00725DDD" w:rsidP="00F9320C">
            <w:r w:rsidRPr="00F9320C">
              <w:t>1</w:t>
            </w:r>
          </w:p>
        </w:tc>
        <w:tc>
          <w:tcPr>
            <w:tcW w:w="1244" w:type="dxa"/>
            <w:tcBorders>
              <w:top w:val="single" w:sz="24" w:space="0" w:color="00B0F0"/>
              <w:left w:val="single" w:sz="12" w:space="0" w:color="D0CECE" w:themeColor="background2" w:themeShade="E6"/>
              <w:bottom w:val="single" w:sz="12" w:space="0" w:color="D0CECE" w:themeColor="background2" w:themeShade="E6"/>
              <w:right w:val="single" w:sz="12" w:space="0" w:color="D0CECE" w:themeColor="background2" w:themeShade="E6"/>
            </w:tcBorders>
            <w:hideMark/>
          </w:tcPr>
          <w:p w14:paraId="7916BEDA" w14:textId="77777777" w:rsidR="00725DDD" w:rsidRPr="00F9320C" w:rsidRDefault="00725DDD" w:rsidP="00F9320C">
            <w:r w:rsidRPr="00F9320C">
              <w:t>4</w:t>
            </w:r>
          </w:p>
        </w:tc>
        <w:tc>
          <w:tcPr>
            <w:tcW w:w="1244" w:type="dxa"/>
            <w:tcBorders>
              <w:top w:val="single" w:sz="24" w:space="0" w:color="00B0F0"/>
              <w:left w:val="single" w:sz="12" w:space="0" w:color="D0CECE" w:themeColor="background2" w:themeShade="E6"/>
              <w:bottom w:val="single" w:sz="12" w:space="0" w:color="D0CECE" w:themeColor="background2" w:themeShade="E6"/>
              <w:right w:val="single" w:sz="12" w:space="0" w:color="D0CECE" w:themeColor="background2" w:themeShade="E6"/>
            </w:tcBorders>
            <w:hideMark/>
          </w:tcPr>
          <w:p w14:paraId="78A4B7D7" w14:textId="77777777" w:rsidR="00725DDD" w:rsidRPr="00F9320C" w:rsidRDefault="00725DDD" w:rsidP="00F9320C">
            <w:r w:rsidRPr="00F9320C">
              <w:t>1</w:t>
            </w:r>
          </w:p>
        </w:tc>
        <w:tc>
          <w:tcPr>
            <w:tcW w:w="1244" w:type="dxa"/>
            <w:tcBorders>
              <w:top w:val="single" w:sz="24" w:space="0" w:color="00B0F0"/>
              <w:left w:val="single" w:sz="12" w:space="0" w:color="D0CECE" w:themeColor="background2" w:themeShade="E6"/>
              <w:bottom w:val="single" w:sz="12" w:space="0" w:color="D0CECE" w:themeColor="background2" w:themeShade="E6"/>
              <w:right w:val="single" w:sz="12" w:space="0" w:color="D0CECE" w:themeColor="background2" w:themeShade="E6"/>
            </w:tcBorders>
            <w:hideMark/>
          </w:tcPr>
          <w:p w14:paraId="622D9CAD" w14:textId="77777777" w:rsidR="00725DDD" w:rsidRPr="00F9320C" w:rsidRDefault="00725DDD" w:rsidP="00F9320C">
            <w:r w:rsidRPr="00F9320C">
              <w:t>0</w:t>
            </w:r>
          </w:p>
        </w:tc>
        <w:tc>
          <w:tcPr>
            <w:tcW w:w="1245" w:type="dxa"/>
            <w:tcBorders>
              <w:top w:val="single" w:sz="24" w:space="0" w:color="00B0F0"/>
              <w:left w:val="single" w:sz="12" w:space="0" w:color="D0CECE" w:themeColor="background2" w:themeShade="E6"/>
              <w:bottom w:val="single" w:sz="12" w:space="0" w:color="D0CECE" w:themeColor="background2" w:themeShade="E6"/>
              <w:right w:val="single" w:sz="12" w:space="0" w:color="D0CECE" w:themeColor="background2" w:themeShade="E6"/>
            </w:tcBorders>
            <w:hideMark/>
          </w:tcPr>
          <w:p w14:paraId="0AE09682" w14:textId="77777777" w:rsidR="00725DDD" w:rsidRPr="00F9320C" w:rsidRDefault="00725DDD" w:rsidP="0061371F">
            <w:pPr>
              <w:rPr>
                <w:b/>
              </w:rPr>
            </w:pPr>
            <w:r w:rsidRPr="00F9320C">
              <w:rPr>
                <w:b/>
              </w:rPr>
              <w:t>6</w:t>
            </w:r>
          </w:p>
        </w:tc>
      </w:tr>
      <w:tr w:rsidR="00E428DD" w:rsidRPr="00725DDD" w14:paraId="689325AC" w14:textId="77777777" w:rsidTr="00C13990">
        <w:trPr>
          <w:trHeight w:val="336"/>
        </w:trPr>
        <w:tc>
          <w:tcPr>
            <w:tcW w:w="2074" w:type="dxa"/>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hideMark/>
          </w:tcPr>
          <w:p w14:paraId="7D8440CB" w14:textId="77777777" w:rsidR="00725DDD" w:rsidRPr="00F9320C" w:rsidRDefault="00725DDD" w:rsidP="0061371F">
            <w:pPr>
              <w:rPr>
                <w:b/>
              </w:rPr>
            </w:pPr>
            <w:r w:rsidRPr="00F9320C">
              <w:rPr>
                <w:b/>
              </w:rPr>
              <w:t>Six to twelve months</w:t>
            </w:r>
          </w:p>
        </w:tc>
        <w:tc>
          <w:tcPr>
            <w:tcW w:w="1244" w:type="dxa"/>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hideMark/>
          </w:tcPr>
          <w:p w14:paraId="55B6B9F6" w14:textId="77777777" w:rsidR="00725DDD" w:rsidRPr="00F9320C" w:rsidRDefault="00725DDD" w:rsidP="00F9320C">
            <w:r w:rsidRPr="00F9320C">
              <w:t>2</w:t>
            </w:r>
          </w:p>
        </w:tc>
        <w:tc>
          <w:tcPr>
            <w:tcW w:w="1244" w:type="dxa"/>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hideMark/>
          </w:tcPr>
          <w:p w14:paraId="5E08E2EA" w14:textId="77777777" w:rsidR="00725DDD" w:rsidRPr="00F9320C" w:rsidRDefault="00725DDD" w:rsidP="00F9320C">
            <w:r w:rsidRPr="00F9320C">
              <w:t>1</w:t>
            </w:r>
          </w:p>
        </w:tc>
        <w:tc>
          <w:tcPr>
            <w:tcW w:w="1244" w:type="dxa"/>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hideMark/>
          </w:tcPr>
          <w:p w14:paraId="15F60EF7" w14:textId="77777777" w:rsidR="00725DDD" w:rsidRPr="00F9320C" w:rsidRDefault="00725DDD" w:rsidP="00F9320C">
            <w:r w:rsidRPr="00F9320C">
              <w:t>0</w:t>
            </w:r>
          </w:p>
        </w:tc>
        <w:tc>
          <w:tcPr>
            <w:tcW w:w="1244" w:type="dxa"/>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hideMark/>
          </w:tcPr>
          <w:p w14:paraId="1BA8D90C" w14:textId="77777777" w:rsidR="00725DDD" w:rsidRPr="00F9320C" w:rsidRDefault="00725DDD" w:rsidP="00F9320C">
            <w:r w:rsidRPr="00F9320C">
              <w:t>1</w:t>
            </w:r>
          </w:p>
        </w:tc>
        <w:tc>
          <w:tcPr>
            <w:tcW w:w="1244" w:type="dxa"/>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hideMark/>
          </w:tcPr>
          <w:p w14:paraId="379B677E" w14:textId="77777777" w:rsidR="00725DDD" w:rsidRPr="00F9320C" w:rsidRDefault="00725DDD" w:rsidP="00F9320C">
            <w:r w:rsidRPr="00F9320C">
              <w:t>0</w:t>
            </w:r>
          </w:p>
        </w:tc>
        <w:tc>
          <w:tcPr>
            <w:tcW w:w="1245" w:type="dxa"/>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hideMark/>
          </w:tcPr>
          <w:p w14:paraId="5FDE2736" w14:textId="77777777" w:rsidR="00725DDD" w:rsidRPr="00F9320C" w:rsidRDefault="00725DDD" w:rsidP="0061371F">
            <w:pPr>
              <w:rPr>
                <w:b/>
              </w:rPr>
            </w:pPr>
            <w:r w:rsidRPr="00F9320C">
              <w:rPr>
                <w:b/>
              </w:rPr>
              <w:t>4</w:t>
            </w:r>
          </w:p>
        </w:tc>
      </w:tr>
      <w:tr w:rsidR="00E428DD" w:rsidRPr="00725DDD" w14:paraId="16E1CB24" w14:textId="77777777" w:rsidTr="00C13990">
        <w:trPr>
          <w:trHeight w:val="336"/>
        </w:trPr>
        <w:tc>
          <w:tcPr>
            <w:tcW w:w="2074" w:type="dxa"/>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hideMark/>
          </w:tcPr>
          <w:p w14:paraId="70191644" w14:textId="77777777" w:rsidR="00725DDD" w:rsidRPr="00F9320C" w:rsidRDefault="00725DDD" w:rsidP="0061371F">
            <w:pPr>
              <w:rPr>
                <w:b/>
              </w:rPr>
            </w:pPr>
            <w:r w:rsidRPr="00F9320C">
              <w:rPr>
                <w:b/>
              </w:rPr>
              <w:t>One to two years</w:t>
            </w:r>
          </w:p>
        </w:tc>
        <w:tc>
          <w:tcPr>
            <w:tcW w:w="1244" w:type="dxa"/>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hideMark/>
          </w:tcPr>
          <w:p w14:paraId="0D78264B" w14:textId="77777777" w:rsidR="00725DDD" w:rsidRPr="00F9320C" w:rsidRDefault="00725DDD" w:rsidP="00F9320C">
            <w:r w:rsidRPr="00F9320C">
              <w:t>0</w:t>
            </w:r>
          </w:p>
        </w:tc>
        <w:tc>
          <w:tcPr>
            <w:tcW w:w="1244" w:type="dxa"/>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hideMark/>
          </w:tcPr>
          <w:p w14:paraId="5561BAD3" w14:textId="77777777" w:rsidR="00725DDD" w:rsidRPr="00F9320C" w:rsidRDefault="00725DDD" w:rsidP="00F9320C">
            <w:r w:rsidRPr="00F9320C">
              <w:t>7</w:t>
            </w:r>
          </w:p>
        </w:tc>
        <w:tc>
          <w:tcPr>
            <w:tcW w:w="1244" w:type="dxa"/>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hideMark/>
          </w:tcPr>
          <w:p w14:paraId="2149179B" w14:textId="77777777" w:rsidR="00725DDD" w:rsidRPr="00F9320C" w:rsidRDefault="00725DDD" w:rsidP="00F9320C">
            <w:r w:rsidRPr="00F9320C">
              <w:t>10</w:t>
            </w:r>
          </w:p>
        </w:tc>
        <w:tc>
          <w:tcPr>
            <w:tcW w:w="1244" w:type="dxa"/>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hideMark/>
          </w:tcPr>
          <w:p w14:paraId="0C1B5ED1" w14:textId="77777777" w:rsidR="00725DDD" w:rsidRPr="00F9320C" w:rsidRDefault="00725DDD" w:rsidP="00F9320C">
            <w:r w:rsidRPr="00F9320C">
              <w:t>2</w:t>
            </w:r>
          </w:p>
        </w:tc>
        <w:tc>
          <w:tcPr>
            <w:tcW w:w="1244" w:type="dxa"/>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hideMark/>
          </w:tcPr>
          <w:p w14:paraId="111132AC" w14:textId="77777777" w:rsidR="00725DDD" w:rsidRPr="00F9320C" w:rsidRDefault="00725DDD" w:rsidP="00F9320C">
            <w:r w:rsidRPr="00F9320C">
              <w:t>0</w:t>
            </w:r>
          </w:p>
        </w:tc>
        <w:tc>
          <w:tcPr>
            <w:tcW w:w="1245" w:type="dxa"/>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hideMark/>
          </w:tcPr>
          <w:p w14:paraId="5BD1B38B" w14:textId="77777777" w:rsidR="00725DDD" w:rsidRPr="00F9320C" w:rsidRDefault="00725DDD" w:rsidP="0061371F">
            <w:pPr>
              <w:rPr>
                <w:b/>
              </w:rPr>
            </w:pPr>
            <w:r w:rsidRPr="00F9320C">
              <w:rPr>
                <w:b/>
              </w:rPr>
              <w:t>19</w:t>
            </w:r>
          </w:p>
        </w:tc>
      </w:tr>
      <w:tr w:rsidR="00E428DD" w:rsidRPr="00725DDD" w14:paraId="697D96C0" w14:textId="77777777" w:rsidTr="00C13990">
        <w:trPr>
          <w:trHeight w:val="336"/>
        </w:trPr>
        <w:tc>
          <w:tcPr>
            <w:tcW w:w="2074" w:type="dxa"/>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hideMark/>
          </w:tcPr>
          <w:p w14:paraId="6F3AF047" w14:textId="77777777" w:rsidR="00725DDD" w:rsidRPr="00F9320C" w:rsidRDefault="00725DDD" w:rsidP="0061371F">
            <w:pPr>
              <w:rPr>
                <w:b/>
              </w:rPr>
            </w:pPr>
            <w:r w:rsidRPr="00F9320C">
              <w:rPr>
                <w:b/>
              </w:rPr>
              <w:t>Two to four years</w:t>
            </w:r>
          </w:p>
        </w:tc>
        <w:tc>
          <w:tcPr>
            <w:tcW w:w="1244" w:type="dxa"/>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hideMark/>
          </w:tcPr>
          <w:p w14:paraId="4320C995" w14:textId="77777777" w:rsidR="00725DDD" w:rsidRPr="00F9320C" w:rsidRDefault="00725DDD" w:rsidP="00F9320C">
            <w:r w:rsidRPr="00F9320C">
              <w:t>1</w:t>
            </w:r>
          </w:p>
        </w:tc>
        <w:tc>
          <w:tcPr>
            <w:tcW w:w="1244" w:type="dxa"/>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hideMark/>
          </w:tcPr>
          <w:p w14:paraId="5BE22149" w14:textId="77777777" w:rsidR="00725DDD" w:rsidRPr="00F9320C" w:rsidRDefault="00725DDD" w:rsidP="00F9320C">
            <w:r w:rsidRPr="00F9320C">
              <w:t>1</w:t>
            </w:r>
          </w:p>
        </w:tc>
        <w:tc>
          <w:tcPr>
            <w:tcW w:w="1244" w:type="dxa"/>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hideMark/>
          </w:tcPr>
          <w:p w14:paraId="0D23C44A" w14:textId="77777777" w:rsidR="00725DDD" w:rsidRPr="00F9320C" w:rsidRDefault="00725DDD" w:rsidP="00F9320C">
            <w:r w:rsidRPr="00F9320C">
              <w:t>18</w:t>
            </w:r>
          </w:p>
        </w:tc>
        <w:tc>
          <w:tcPr>
            <w:tcW w:w="1244" w:type="dxa"/>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hideMark/>
          </w:tcPr>
          <w:p w14:paraId="302E0B66" w14:textId="77777777" w:rsidR="00725DDD" w:rsidRPr="00F9320C" w:rsidRDefault="00725DDD" w:rsidP="00F9320C">
            <w:r w:rsidRPr="00F9320C">
              <w:t>3</w:t>
            </w:r>
          </w:p>
        </w:tc>
        <w:tc>
          <w:tcPr>
            <w:tcW w:w="1244" w:type="dxa"/>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hideMark/>
          </w:tcPr>
          <w:p w14:paraId="71780A97" w14:textId="77777777" w:rsidR="00725DDD" w:rsidRPr="00F9320C" w:rsidRDefault="00725DDD" w:rsidP="00F9320C">
            <w:r w:rsidRPr="00F9320C">
              <w:t>1</w:t>
            </w:r>
          </w:p>
        </w:tc>
        <w:tc>
          <w:tcPr>
            <w:tcW w:w="1245" w:type="dxa"/>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hideMark/>
          </w:tcPr>
          <w:p w14:paraId="253B2816" w14:textId="77777777" w:rsidR="00725DDD" w:rsidRPr="00F9320C" w:rsidRDefault="00725DDD" w:rsidP="0061371F">
            <w:pPr>
              <w:rPr>
                <w:b/>
              </w:rPr>
            </w:pPr>
            <w:r w:rsidRPr="00F9320C">
              <w:rPr>
                <w:b/>
              </w:rPr>
              <w:t>24</w:t>
            </w:r>
          </w:p>
        </w:tc>
      </w:tr>
      <w:tr w:rsidR="00E428DD" w:rsidRPr="00725DDD" w14:paraId="1799094E" w14:textId="77777777" w:rsidTr="00C13990">
        <w:trPr>
          <w:trHeight w:val="336"/>
        </w:trPr>
        <w:tc>
          <w:tcPr>
            <w:tcW w:w="2074" w:type="dxa"/>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hideMark/>
          </w:tcPr>
          <w:p w14:paraId="120D3DE3" w14:textId="77777777" w:rsidR="00725DDD" w:rsidRPr="00F9320C" w:rsidRDefault="00725DDD" w:rsidP="0061371F">
            <w:pPr>
              <w:rPr>
                <w:b/>
              </w:rPr>
            </w:pPr>
            <w:r w:rsidRPr="00F9320C">
              <w:rPr>
                <w:b/>
              </w:rPr>
              <w:t>More than four years</w:t>
            </w:r>
          </w:p>
        </w:tc>
        <w:tc>
          <w:tcPr>
            <w:tcW w:w="1244" w:type="dxa"/>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hideMark/>
          </w:tcPr>
          <w:p w14:paraId="210BE3CA" w14:textId="77777777" w:rsidR="00725DDD" w:rsidRPr="00F9320C" w:rsidRDefault="00725DDD" w:rsidP="00F9320C">
            <w:r w:rsidRPr="00F9320C">
              <w:t>2</w:t>
            </w:r>
          </w:p>
        </w:tc>
        <w:tc>
          <w:tcPr>
            <w:tcW w:w="1244" w:type="dxa"/>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hideMark/>
          </w:tcPr>
          <w:p w14:paraId="602E8A4E" w14:textId="77777777" w:rsidR="00725DDD" w:rsidRPr="00F9320C" w:rsidRDefault="00725DDD" w:rsidP="00F9320C">
            <w:r w:rsidRPr="00F9320C">
              <w:t>5</w:t>
            </w:r>
          </w:p>
        </w:tc>
        <w:tc>
          <w:tcPr>
            <w:tcW w:w="1244" w:type="dxa"/>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hideMark/>
          </w:tcPr>
          <w:p w14:paraId="747CCEF0" w14:textId="77777777" w:rsidR="00725DDD" w:rsidRPr="00F9320C" w:rsidRDefault="00725DDD" w:rsidP="00F9320C">
            <w:r w:rsidRPr="00F9320C">
              <w:t>19</w:t>
            </w:r>
          </w:p>
        </w:tc>
        <w:tc>
          <w:tcPr>
            <w:tcW w:w="1244" w:type="dxa"/>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hideMark/>
          </w:tcPr>
          <w:p w14:paraId="731BD002" w14:textId="77777777" w:rsidR="00725DDD" w:rsidRPr="00F9320C" w:rsidRDefault="00725DDD" w:rsidP="00F9320C">
            <w:r w:rsidRPr="00F9320C">
              <w:t>4</w:t>
            </w:r>
          </w:p>
        </w:tc>
        <w:tc>
          <w:tcPr>
            <w:tcW w:w="1244" w:type="dxa"/>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hideMark/>
          </w:tcPr>
          <w:p w14:paraId="0D07E2A0" w14:textId="77777777" w:rsidR="00725DDD" w:rsidRPr="00F9320C" w:rsidRDefault="00725DDD" w:rsidP="00F9320C">
            <w:r w:rsidRPr="00F9320C">
              <w:t>2</w:t>
            </w:r>
          </w:p>
        </w:tc>
        <w:tc>
          <w:tcPr>
            <w:tcW w:w="1245" w:type="dxa"/>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hideMark/>
          </w:tcPr>
          <w:p w14:paraId="028DDE62" w14:textId="77777777" w:rsidR="00725DDD" w:rsidRPr="00F9320C" w:rsidRDefault="00725DDD" w:rsidP="0061371F">
            <w:pPr>
              <w:rPr>
                <w:b/>
              </w:rPr>
            </w:pPr>
            <w:r w:rsidRPr="00F9320C">
              <w:rPr>
                <w:b/>
              </w:rPr>
              <w:t>32</w:t>
            </w:r>
          </w:p>
        </w:tc>
      </w:tr>
      <w:tr w:rsidR="00E428DD" w:rsidRPr="00725DDD" w14:paraId="5BDF7AD0" w14:textId="77777777" w:rsidTr="00C13990">
        <w:trPr>
          <w:trHeight w:val="336"/>
        </w:trPr>
        <w:tc>
          <w:tcPr>
            <w:tcW w:w="2074" w:type="dxa"/>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hideMark/>
          </w:tcPr>
          <w:p w14:paraId="6506B58D" w14:textId="77777777" w:rsidR="00725DDD" w:rsidRPr="00F9320C" w:rsidRDefault="00725DDD" w:rsidP="0061371F">
            <w:pPr>
              <w:rPr>
                <w:b/>
              </w:rPr>
            </w:pPr>
            <w:r w:rsidRPr="00F9320C">
              <w:rPr>
                <w:b/>
              </w:rPr>
              <w:t>Total</w:t>
            </w:r>
          </w:p>
        </w:tc>
        <w:tc>
          <w:tcPr>
            <w:tcW w:w="1244" w:type="dxa"/>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hideMark/>
          </w:tcPr>
          <w:p w14:paraId="4D6FC640" w14:textId="77777777" w:rsidR="00725DDD" w:rsidRPr="00F9320C" w:rsidRDefault="00725DDD" w:rsidP="00F9320C">
            <w:r w:rsidRPr="00F9320C">
              <w:t>5</w:t>
            </w:r>
          </w:p>
        </w:tc>
        <w:tc>
          <w:tcPr>
            <w:tcW w:w="1244" w:type="dxa"/>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hideMark/>
          </w:tcPr>
          <w:p w14:paraId="541571E5" w14:textId="77777777" w:rsidR="00725DDD" w:rsidRPr="00F9320C" w:rsidRDefault="00725DDD" w:rsidP="00F9320C">
            <w:r w:rsidRPr="00F9320C">
              <w:t>15</w:t>
            </w:r>
          </w:p>
        </w:tc>
        <w:tc>
          <w:tcPr>
            <w:tcW w:w="1244" w:type="dxa"/>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hideMark/>
          </w:tcPr>
          <w:p w14:paraId="55BF4691" w14:textId="77777777" w:rsidR="00725DDD" w:rsidRPr="00F9320C" w:rsidRDefault="00725DDD" w:rsidP="00F9320C">
            <w:r w:rsidRPr="00F9320C">
              <w:t>51</w:t>
            </w:r>
          </w:p>
        </w:tc>
        <w:tc>
          <w:tcPr>
            <w:tcW w:w="1244" w:type="dxa"/>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hideMark/>
          </w:tcPr>
          <w:p w14:paraId="2603037E" w14:textId="77777777" w:rsidR="00725DDD" w:rsidRPr="00F9320C" w:rsidRDefault="00725DDD" w:rsidP="00F9320C">
            <w:r w:rsidRPr="00F9320C">
              <w:t>11</w:t>
            </w:r>
          </w:p>
        </w:tc>
        <w:tc>
          <w:tcPr>
            <w:tcW w:w="1244" w:type="dxa"/>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hideMark/>
          </w:tcPr>
          <w:p w14:paraId="5CA9B1F1" w14:textId="77777777" w:rsidR="00725DDD" w:rsidRPr="00F9320C" w:rsidRDefault="00725DDD" w:rsidP="00F9320C">
            <w:r w:rsidRPr="00F9320C">
              <w:t>3</w:t>
            </w:r>
          </w:p>
        </w:tc>
        <w:tc>
          <w:tcPr>
            <w:tcW w:w="1245" w:type="dxa"/>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hideMark/>
          </w:tcPr>
          <w:p w14:paraId="751C5B17" w14:textId="77777777" w:rsidR="00725DDD" w:rsidRPr="00F9320C" w:rsidRDefault="00725DDD" w:rsidP="0061371F">
            <w:pPr>
              <w:rPr>
                <w:b/>
              </w:rPr>
            </w:pPr>
            <w:r w:rsidRPr="00F9320C">
              <w:rPr>
                <w:b/>
              </w:rPr>
              <w:t>85</w:t>
            </w:r>
          </w:p>
        </w:tc>
      </w:tr>
    </w:tbl>
    <w:p w14:paraId="68EA53D8" w14:textId="77777777" w:rsidR="00D964DC" w:rsidRDefault="00D964DC" w:rsidP="004C236A">
      <w:r w:rsidRPr="00D964DC">
        <w:t>Source: N=85, Deloitte questionnaire, 2020. Note: 71% of initiatives’ responses provided an ‘unsure / not applicable’ response to the question about updating or reviewing initiatives. 43% responded ‘unsure / not applicable’ to the question about age of initiative</w:t>
      </w:r>
      <w:r>
        <w:t>.</w:t>
      </w:r>
    </w:p>
    <w:p w14:paraId="6321B940" w14:textId="59DC064B" w:rsidR="004C236A" w:rsidRPr="004C236A" w:rsidRDefault="004C236A" w:rsidP="004C236A">
      <w:pPr>
        <w:rPr>
          <w:lang w:val="en-AU"/>
        </w:rPr>
      </w:pPr>
      <w:r w:rsidRPr="004C236A">
        <w:rPr>
          <w:b/>
          <w:bCs/>
          <w:lang w:val="en-AU"/>
        </w:rPr>
        <w:t xml:space="preserve">Targeted policy and leadership for primary prevention in sexual violence and sexual harassment is needed to drive momentum: </w:t>
      </w:r>
    </w:p>
    <w:p w14:paraId="1FCCAC3C" w14:textId="263EF28B" w:rsidR="004C236A" w:rsidRPr="004C236A" w:rsidRDefault="004C236A" w:rsidP="004C236A">
      <w:pPr>
        <w:rPr>
          <w:lang w:val="en-AU"/>
        </w:rPr>
      </w:pPr>
      <w:r w:rsidRPr="004C236A">
        <w:rPr>
          <w:lang w:val="en-AU"/>
        </w:rPr>
        <w:t xml:space="preserve">Continued leadership and momentum for change at a societal level in sexual violence and sexual harassment is needed. Stakeholders noted that catalysts for change are yet to occur in sexual violence </w:t>
      </w:r>
      <w:r w:rsidRPr="004C236A">
        <w:rPr>
          <w:lang w:val="en-AU"/>
        </w:rPr>
        <w:lastRenderedPageBreak/>
        <w:t>more generally. Where commissions are not available or realistic, specific policy and directives in sexual violence and sexual harassment play a role in leading change.</w:t>
      </w:r>
    </w:p>
    <w:p w14:paraId="5988D9A9" w14:textId="77777777" w:rsidR="004C236A" w:rsidRPr="004C236A" w:rsidRDefault="004C236A" w:rsidP="004C236A">
      <w:pPr>
        <w:rPr>
          <w:lang w:val="en-AU"/>
        </w:rPr>
      </w:pPr>
      <w:r w:rsidRPr="004C236A">
        <w:rPr>
          <w:b/>
          <w:bCs/>
          <w:lang w:val="en-AU"/>
        </w:rPr>
        <w:t xml:space="preserve">Greater collaboration and co-design of community led policy and initiatives is required: </w:t>
      </w:r>
    </w:p>
    <w:p w14:paraId="0665B796" w14:textId="3A7CEFFC" w:rsidR="00725DDD" w:rsidRPr="00E428DD" w:rsidRDefault="004C236A" w:rsidP="00A96A5A">
      <w:pPr>
        <w:rPr>
          <w:lang w:val="en-AU"/>
        </w:rPr>
      </w:pPr>
      <w:r w:rsidRPr="004C236A">
        <w:rPr>
          <w:lang w:val="en-AU"/>
        </w:rPr>
        <w:t>Stakeholders spoke about the need for greater collaboration and opportunities for co-design.  Diverse groups asked for greater inclusion within existing forums and networks. Some stakeholders also advised that primary prevention should be co-designed by survivors of sexual abuse and sexual harassment as well as intended consumers.</w:t>
      </w:r>
    </w:p>
    <w:p w14:paraId="37C090E6" w14:textId="660F6931" w:rsidR="002864DA" w:rsidRDefault="002864DA" w:rsidP="00A96A5A">
      <w:pPr>
        <w:rPr>
          <w:b/>
          <w:bCs/>
          <w:sz w:val="32"/>
          <w:szCs w:val="32"/>
        </w:rPr>
      </w:pPr>
      <w:r w:rsidRPr="002864DA">
        <w:rPr>
          <w:b/>
          <w:bCs/>
          <w:sz w:val="32"/>
          <w:szCs w:val="32"/>
        </w:rPr>
        <w:t>Supportive funding</w:t>
      </w:r>
    </w:p>
    <w:p w14:paraId="3D40C4C6" w14:textId="0FC6A89A" w:rsidR="008923EF" w:rsidRPr="008923EF" w:rsidRDefault="008923EF" w:rsidP="008923EF">
      <w:pPr>
        <w:rPr>
          <w:lang w:val="en-AU"/>
        </w:rPr>
      </w:pPr>
      <w:r w:rsidRPr="6B49347C">
        <w:rPr>
          <w:lang w:val="en-AU"/>
        </w:rPr>
        <w:t>Th</w:t>
      </w:r>
      <w:r w:rsidR="22FB6A6A" w:rsidRPr="6B49347C">
        <w:rPr>
          <w:lang w:val="en-AU"/>
        </w:rPr>
        <w:t>is issue considers th</w:t>
      </w:r>
      <w:r w:rsidRPr="6B49347C">
        <w:rPr>
          <w:lang w:val="en-AU"/>
        </w:rPr>
        <w:t>e</w:t>
      </w:r>
      <w:r w:rsidRPr="008923EF">
        <w:rPr>
          <w:lang w:val="en-AU"/>
        </w:rPr>
        <w:t xml:space="preserve"> extent that primary prevention initiatives are funded in a manner that supports best practice</w:t>
      </w:r>
      <w:r w:rsidR="00200B89">
        <w:rPr>
          <w:lang w:val="en-AU"/>
        </w:rPr>
        <w:t>.</w:t>
      </w:r>
    </w:p>
    <w:p w14:paraId="4C3902F4" w14:textId="77777777" w:rsidR="008923EF" w:rsidRPr="008923EF" w:rsidRDefault="008923EF" w:rsidP="008923EF">
      <w:pPr>
        <w:rPr>
          <w:lang w:val="en-AU"/>
        </w:rPr>
      </w:pPr>
      <w:r w:rsidRPr="008923EF">
        <w:rPr>
          <w:b/>
          <w:bCs/>
          <w:lang w:val="en-AU"/>
        </w:rPr>
        <w:t xml:space="preserve">Dedicated funding specifically for primary prevention in sexual violence and sexual harassment is limited: </w:t>
      </w:r>
    </w:p>
    <w:p w14:paraId="42331964" w14:textId="737BA022" w:rsidR="008923EF" w:rsidRPr="008923EF" w:rsidRDefault="008923EF" w:rsidP="008923EF">
      <w:pPr>
        <w:rPr>
          <w:lang w:val="en-AU"/>
        </w:rPr>
      </w:pPr>
      <w:r w:rsidRPr="008923EF">
        <w:rPr>
          <w:lang w:val="en-AU"/>
        </w:rPr>
        <w:t>Generally, initiatives receive discrete pieces of funding for small projects and rely heavily on government funding sources (</w:t>
      </w:r>
      <w:r>
        <w:rPr>
          <w:lang w:val="en-AU"/>
        </w:rPr>
        <w:t>Table</w:t>
      </w:r>
      <w:r w:rsidRPr="008923EF">
        <w:rPr>
          <w:lang w:val="en-AU"/>
        </w:rPr>
        <w:t xml:space="preserve"> 7). There is limited longer-term funding, which constrains sustainable practices and the realisation of outcomes on attitude, behaviour and system changes.</w:t>
      </w:r>
    </w:p>
    <w:p w14:paraId="28ED8C83" w14:textId="3FBE8B4C" w:rsidR="008923EF" w:rsidRPr="008923EF" w:rsidRDefault="008923EF" w:rsidP="00A96A5A">
      <w:r>
        <w:rPr>
          <w:b/>
          <w:bCs/>
        </w:rPr>
        <w:t xml:space="preserve">Table 7: </w:t>
      </w:r>
      <w:r>
        <w:t xml:space="preserve"> </w:t>
      </w:r>
      <w:r w:rsidR="00221A90">
        <w:t>Initiatives</w:t>
      </w:r>
      <w:r>
        <w:t xml:space="preserve"> and funding source</w:t>
      </w:r>
    </w:p>
    <w:tbl>
      <w:tblPr>
        <w:tblW w:w="9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8"/>
        <w:gridCol w:w="4778"/>
      </w:tblGrid>
      <w:tr w:rsidR="00283127" w14:paraId="43E62ECD" w14:textId="77777777" w:rsidTr="00E428DD">
        <w:trPr>
          <w:trHeight w:val="391"/>
        </w:trPr>
        <w:tc>
          <w:tcPr>
            <w:tcW w:w="4778" w:type="dxa"/>
            <w:tcBorders>
              <w:top w:val="single" w:sz="24" w:space="0" w:color="00B0F0"/>
              <w:left w:val="single" w:sz="12" w:space="0" w:color="D0CECE" w:themeColor="background2" w:themeShade="E6"/>
              <w:bottom w:val="single" w:sz="24" w:space="0" w:color="00B0F0"/>
              <w:right w:val="single" w:sz="12" w:space="0" w:color="D0CECE" w:themeColor="background2" w:themeShade="E6"/>
            </w:tcBorders>
          </w:tcPr>
          <w:p w14:paraId="203BE8C0" w14:textId="47ECCC5D" w:rsidR="00283127" w:rsidRPr="000F1B49" w:rsidRDefault="00283127" w:rsidP="00A96A5A">
            <w:pPr>
              <w:rPr>
                <w:b/>
                <w:bCs/>
              </w:rPr>
            </w:pPr>
            <w:r w:rsidRPr="000F1B49">
              <w:rPr>
                <w:b/>
                <w:bCs/>
              </w:rPr>
              <w:t>Type of funding</w:t>
            </w:r>
          </w:p>
        </w:tc>
        <w:tc>
          <w:tcPr>
            <w:tcW w:w="4778" w:type="dxa"/>
            <w:tcBorders>
              <w:top w:val="single" w:sz="24" w:space="0" w:color="00B0F0"/>
              <w:left w:val="single" w:sz="12" w:space="0" w:color="D0CECE" w:themeColor="background2" w:themeShade="E6"/>
              <w:bottom w:val="single" w:sz="24" w:space="0" w:color="00B0F0"/>
              <w:right w:val="single" w:sz="12" w:space="0" w:color="D0CECE" w:themeColor="background2" w:themeShade="E6"/>
            </w:tcBorders>
          </w:tcPr>
          <w:p w14:paraId="355CCB0B" w14:textId="1EBACD74" w:rsidR="00283127" w:rsidRPr="000F1B49" w:rsidRDefault="007502F2" w:rsidP="00A96A5A">
            <w:pPr>
              <w:rPr>
                <w:b/>
                <w:bCs/>
              </w:rPr>
            </w:pPr>
            <w:r w:rsidRPr="000F1B49">
              <w:rPr>
                <w:b/>
                <w:bCs/>
              </w:rPr>
              <w:t>Proportion of initiatives</w:t>
            </w:r>
          </w:p>
        </w:tc>
      </w:tr>
      <w:tr w:rsidR="00283127" w14:paraId="1B5A9A77" w14:textId="77777777" w:rsidTr="00E428DD">
        <w:trPr>
          <w:trHeight w:val="391"/>
        </w:trPr>
        <w:tc>
          <w:tcPr>
            <w:tcW w:w="4778" w:type="dxa"/>
            <w:tcBorders>
              <w:top w:val="single" w:sz="24" w:space="0" w:color="00B0F0"/>
              <w:left w:val="single" w:sz="12" w:space="0" w:color="D0CECE" w:themeColor="background2" w:themeShade="E6"/>
              <w:bottom w:val="single" w:sz="12" w:space="0" w:color="D0CECE" w:themeColor="background2" w:themeShade="E6"/>
              <w:right w:val="single" w:sz="12" w:space="0" w:color="D0CECE" w:themeColor="background2" w:themeShade="E6"/>
            </w:tcBorders>
          </w:tcPr>
          <w:p w14:paraId="709E4516" w14:textId="5AF4FD08" w:rsidR="00283127" w:rsidRDefault="00D3431E" w:rsidP="00A96A5A">
            <w:r>
              <w:t xml:space="preserve">Initiatives receive public funding </w:t>
            </w:r>
          </w:p>
        </w:tc>
        <w:tc>
          <w:tcPr>
            <w:tcW w:w="4778" w:type="dxa"/>
            <w:tcBorders>
              <w:top w:val="single" w:sz="24" w:space="0" w:color="00B0F0"/>
              <w:left w:val="single" w:sz="12" w:space="0" w:color="D0CECE" w:themeColor="background2" w:themeShade="E6"/>
              <w:bottom w:val="single" w:sz="12" w:space="0" w:color="D0CECE" w:themeColor="background2" w:themeShade="E6"/>
              <w:right w:val="single" w:sz="12" w:space="0" w:color="D0CECE" w:themeColor="background2" w:themeShade="E6"/>
            </w:tcBorders>
          </w:tcPr>
          <w:p w14:paraId="02CD5C4D" w14:textId="07BAE4FB" w:rsidR="00283127" w:rsidRDefault="007502F2" w:rsidP="00A96A5A">
            <w:r>
              <w:t>56%</w:t>
            </w:r>
          </w:p>
        </w:tc>
      </w:tr>
      <w:tr w:rsidR="00283127" w14:paraId="30F13297" w14:textId="77777777" w:rsidTr="00E428DD">
        <w:trPr>
          <w:trHeight w:val="391"/>
        </w:trPr>
        <w:tc>
          <w:tcPr>
            <w:tcW w:w="4778" w:type="dxa"/>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tcPr>
          <w:p w14:paraId="7DE48C50" w14:textId="5D974FD4" w:rsidR="00283127" w:rsidRDefault="007502F2" w:rsidP="00A96A5A">
            <w:r>
              <w:t>Initiatives receive funding from multiple sources</w:t>
            </w:r>
          </w:p>
        </w:tc>
        <w:tc>
          <w:tcPr>
            <w:tcW w:w="4778" w:type="dxa"/>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tcPr>
          <w:p w14:paraId="43E7DC0A" w14:textId="75357549" w:rsidR="00283127" w:rsidRDefault="007502F2" w:rsidP="00A96A5A">
            <w:r>
              <w:t>24%</w:t>
            </w:r>
          </w:p>
        </w:tc>
      </w:tr>
      <w:tr w:rsidR="00283127" w14:paraId="78C62BDD" w14:textId="77777777" w:rsidTr="00E428DD">
        <w:trPr>
          <w:trHeight w:val="391"/>
        </w:trPr>
        <w:tc>
          <w:tcPr>
            <w:tcW w:w="4778" w:type="dxa"/>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tcPr>
          <w:p w14:paraId="302EA538" w14:textId="6F9F1C4C" w:rsidR="00283127" w:rsidRDefault="007502F2" w:rsidP="00A96A5A">
            <w:r>
              <w:t>Initiatives are not for profit</w:t>
            </w:r>
          </w:p>
        </w:tc>
        <w:tc>
          <w:tcPr>
            <w:tcW w:w="4778" w:type="dxa"/>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tcPr>
          <w:p w14:paraId="0885316F" w14:textId="77AE0C6B" w:rsidR="00283127" w:rsidRDefault="007502F2" w:rsidP="00A96A5A">
            <w:r>
              <w:t>35%</w:t>
            </w:r>
          </w:p>
        </w:tc>
      </w:tr>
    </w:tbl>
    <w:p w14:paraId="24E21D8D" w14:textId="77777777" w:rsidR="00EB5A8A" w:rsidRDefault="00EB5A8A" w:rsidP="008923EF">
      <w:r w:rsidRPr="00EB5A8A">
        <w:t>Source: N=158, Deloitte questionnaire, 2020. Note: Figures do not add to 100% as some respondents may have ticked multiple options, while others may have ticked none.</w:t>
      </w:r>
    </w:p>
    <w:p w14:paraId="6D705919" w14:textId="7B8127D5" w:rsidR="008923EF" w:rsidRPr="008923EF" w:rsidRDefault="007502F2" w:rsidP="008923EF">
      <w:pPr>
        <w:rPr>
          <w:lang w:val="en-AU"/>
        </w:rPr>
      </w:pPr>
      <w:r w:rsidRPr="008923EF">
        <w:rPr>
          <w:b/>
          <w:bCs/>
          <w:lang w:val="en-AU"/>
        </w:rPr>
        <w:t>Funding for</w:t>
      </w:r>
      <w:r w:rsidR="008923EF" w:rsidRPr="008923EF">
        <w:rPr>
          <w:b/>
          <w:bCs/>
          <w:lang w:val="en-AU"/>
        </w:rPr>
        <w:t xml:space="preserve"> research and evaluation of primary prevention initiatives is limited:</w:t>
      </w:r>
    </w:p>
    <w:p w14:paraId="35A26C55" w14:textId="482C839C" w:rsidR="007502F2" w:rsidRDefault="008923EF" w:rsidP="00A96A5A">
      <w:pPr>
        <w:rPr>
          <w:lang w:val="en-AU"/>
        </w:rPr>
      </w:pPr>
      <w:r w:rsidRPr="008923EF">
        <w:rPr>
          <w:lang w:val="en-AU"/>
        </w:rPr>
        <w:t xml:space="preserve">There is limited funding specifically for evaluation, research and innovation. Evaluation of primary prevention initiatives in sexual violence and sexual harassment is considered a new and emerging sector in Australia. </w:t>
      </w:r>
    </w:p>
    <w:p w14:paraId="57C467FE" w14:textId="62227E9D" w:rsidR="007502F2" w:rsidRDefault="007502F2" w:rsidP="00A96A5A">
      <w:pPr>
        <w:rPr>
          <w:lang w:val="en-AU"/>
        </w:rPr>
      </w:pPr>
      <w:r>
        <w:rPr>
          <w:b/>
          <w:bCs/>
          <w:lang w:val="en-AU"/>
        </w:rPr>
        <w:t>Table 8</w:t>
      </w:r>
      <w:r>
        <w:rPr>
          <w:lang w:val="en-AU"/>
        </w:rPr>
        <w:t>: Initiatives and funding</w:t>
      </w:r>
    </w:p>
    <w:tbl>
      <w:tblPr>
        <w:tblW w:w="9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
        <w:gridCol w:w="1216"/>
        <w:gridCol w:w="1151"/>
        <w:gridCol w:w="1357"/>
        <w:gridCol w:w="1554"/>
        <w:gridCol w:w="1157"/>
        <w:gridCol w:w="1047"/>
        <w:gridCol w:w="1114"/>
      </w:tblGrid>
      <w:tr w:rsidR="00E428DD" w14:paraId="6C2BD03A" w14:textId="735A0BEA" w:rsidTr="00B32400">
        <w:trPr>
          <w:trHeight w:val="870"/>
        </w:trPr>
        <w:tc>
          <w:tcPr>
            <w:tcW w:w="1121" w:type="dxa"/>
            <w:tcBorders>
              <w:top w:val="single" w:sz="24" w:space="0" w:color="00B0F0"/>
              <w:left w:val="single" w:sz="12" w:space="0" w:color="D0CECE" w:themeColor="background2" w:themeShade="E6"/>
              <w:bottom w:val="single" w:sz="24" w:space="0" w:color="00B0F0"/>
              <w:right w:val="single" w:sz="12" w:space="0" w:color="D0CECE" w:themeColor="background2" w:themeShade="E6"/>
            </w:tcBorders>
          </w:tcPr>
          <w:p w14:paraId="06212E19" w14:textId="77777777" w:rsidR="00021A14" w:rsidRDefault="00021A14" w:rsidP="00A96A5A">
            <w:pPr>
              <w:rPr>
                <w:lang w:val="en-AU"/>
              </w:rPr>
            </w:pPr>
          </w:p>
        </w:tc>
        <w:tc>
          <w:tcPr>
            <w:tcW w:w="1216" w:type="dxa"/>
            <w:tcBorders>
              <w:top w:val="single" w:sz="24" w:space="0" w:color="00B0F0"/>
              <w:left w:val="single" w:sz="12" w:space="0" w:color="D0CECE" w:themeColor="background2" w:themeShade="E6"/>
              <w:bottom w:val="single" w:sz="24" w:space="0" w:color="00B0F0"/>
              <w:right w:val="single" w:sz="12" w:space="0" w:color="D0CECE" w:themeColor="background2" w:themeShade="E6"/>
            </w:tcBorders>
          </w:tcPr>
          <w:p w14:paraId="41F22B55" w14:textId="535C95B3" w:rsidR="00021A14" w:rsidRPr="00021A14" w:rsidRDefault="00021A14" w:rsidP="00A96A5A">
            <w:pPr>
              <w:rPr>
                <w:b/>
                <w:bCs/>
                <w:lang w:val="en-AU"/>
              </w:rPr>
            </w:pPr>
            <w:r w:rsidRPr="00021A14">
              <w:rPr>
                <w:b/>
                <w:bCs/>
                <w:lang w:val="en-AU"/>
              </w:rPr>
              <w:t>Awareness raising</w:t>
            </w:r>
          </w:p>
        </w:tc>
        <w:tc>
          <w:tcPr>
            <w:tcW w:w="1151" w:type="dxa"/>
            <w:tcBorders>
              <w:top w:val="single" w:sz="24" w:space="0" w:color="00B0F0"/>
              <w:left w:val="single" w:sz="12" w:space="0" w:color="D0CECE" w:themeColor="background2" w:themeShade="E6"/>
              <w:bottom w:val="single" w:sz="24" w:space="0" w:color="00B0F0"/>
              <w:right w:val="single" w:sz="12" w:space="0" w:color="D0CECE" w:themeColor="background2" w:themeShade="E6"/>
            </w:tcBorders>
          </w:tcPr>
          <w:p w14:paraId="027522D7" w14:textId="7BA4BAF5" w:rsidR="00021A14" w:rsidRPr="00021A14" w:rsidRDefault="00021A14" w:rsidP="00A96A5A">
            <w:pPr>
              <w:rPr>
                <w:b/>
                <w:bCs/>
                <w:lang w:val="en-AU"/>
              </w:rPr>
            </w:pPr>
            <w:r w:rsidRPr="00021A14">
              <w:rPr>
                <w:b/>
                <w:bCs/>
                <w:lang w:val="en-AU"/>
              </w:rPr>
              <w:t>Upskilling the workforce</w:t>
            </w:r>
          </w:p>
        </w:tc>
        <w:tc>
          <w:tcPr>
            <w:tcW w:w="1357" w:type="dxa"/>
            <w:tcBorders>
              <w:top w:val="single" w:sz="24" w:space="0" w:color="00B0F0"/>
              <w:left w:val="single" w:sz="12" w:space="0" w:color="D0CECE" w:themeColor="background2" w:themeShade="E6"/>
              <w:bottom w:val="single" w:sz="24" w:space="0" w:color="00B0F0"/>
              <w:right w:val="single" w:sz="12" w:space="0" w:color="D0CECE" w:themeColor="background2" w:themeShade="E6"/>
            </w:tcBorders>
          </w:tcPr>
          <w:p w14:paraId="62C6461B" w14:textId="7B8630C4" w:rsidR="00021A14" w:rsidRPr="00021A14" w:rsidRDefault="00021A14" w:rsidP="00A96A5A">
            <w:pPr>
              <w:rPr>
                <w:b/>
                <w:bCs/>
                <w:lang w:val="en-AU"/>
              </w:rPr>
            </w:pPr>
            <w:r w:rsidRPr="00021A14">
              <w:rPr>
                <w:b/>
                <w:bCs/>
                <w:lang w:val="en-AU"/>
              </w:rPr>
              <w:t>Community engagement and mobilisation</w:t>
            </w:r>
          </w:p>
        </w:tc>
        <w:tc>
          <w:tcPr>
            <w:tcW w:w="1554" w:type="dxa"/>
            <w:tcBorders>
              <w:top w:val="single" w:sz="24" w:space="0" w:color="00B0F0"/>
              <w:left w:val="single" w:sz="12" w:space="0" w:color="D0CECE" w:themeColor="background2" w:themeShade="E6"/>
              <w:bottom w:val="single" w:sz="24" w:space="0" w:color="00B0F0"/>
              <w:right w:val="single" w:sz="12" w:space="0" w:color="D0CECE" w:themeColor="background2" w:themeShade="E6"/>
            </w:tcBorders>
          </w:tcPr>
          <w:p w14:paraId="6B7C55E5" w14:textId="225E18E3" w:rsidR="00021A14" w:rsidRPr="00021A14" w:rsidRDefault="00021A14" w:rsidP="00A96A5A">
            <w:pPr>
              <w:rPr>
                <w:b/>
                <w:bCs/>
                <w:lang w:val="en-AU"/>
              </w:rPr>
            </w:pPr>
            <w:r w:rsidRPr="00021A14">
              <w:rPr>
                <w:b/>
                <w:bCs/>
                <w:lang w:val="en-AU"/>
              </w:rPr>
              <w:t>Organisational policies</w:t>
            </w:r>
          </w:p>
        </w:tc>
        <w:tc>
          <w:tcPr>
            <w:tcW w:w="1157" w:type="dxa"/>
            <w:tcBorders>
              <w:top w:val="single" w:sz="24" w:space="0" w:color="00B0F0"/>
              <w:left w:val="single" w:sz="12" w:space="0" w:color="D0CECE" w:themeColor="background2" w:themeShade="E6"/>
              <w:bottom w:val="single" w:sz="24" w:space="0" w:color="00B0F0"/>
              <w:right w:val="single" w:sz="12" w:space="0" w:color="D0CECE" w:themeColor="background2" w:themeShade="E6"/>
            </w:tcBorders>
          </w:tcPr>
          <w:p w14:paraId="1BF82C1A" w14:textId="754083DE" w:rsidR="00021A14" w:rsidRPr="00021A14" w:rsidRDefault="00021A14" w:rsidP="00A96A5A">
            <w:pPr>
              <w:rPr>
                <w:b/>
                <w:bCs/>
                <w:lang w:val="en-AU"/>
              </w:rPr>
            </w:pPr>
            <w:r w:rsidRPr="00021A14">
              <w:rPr>
                <w:b/>
                <w:bCs/>
                <w:lang w:val="en-AU"/>
              </w:rPr>
              <w:t>Policy and regulation</w:t>
            </w:r>
          </w:p>
        </w:tc>
        <w:tc>
          <w:tcPr>
            <w:tcW w:w="1047" w:type="dxa"/>
            <w:tcBorders>
              <w:top w:val="single" w:sz="24" w:space="0" w:color="00B0F0"/>
              <w:left w:val="single" w:sz="12" w:space="0" w:color="D0CECE" w:themeColor="background2" w:themeShade="E6"/>
              <w:bottom w:val="single" w:sz="24" w:space="0" w:color="00B0F0"/>
              <w:right w:val="single" w:sz="12" w:space="0" w:color="D0CECE" w:themeColor="background2" w:themeShade="E6"/>
            </w:tcBorders>
          </w:tcPr>
          <w:p w14:paraId="1AC0A94E" w14:textId="57735A7E" w:rsidR="00021A14" w:rsidRPr="00021A14" w:rsidRDefault="00021A14" w:rsidP="00A96A5A">
            <w:pPr>
              <w:rPr>
                <w:b/>
                <w:bCs/>
                <w:lang w:val="en-AU"/>
              </w:rPr>
            </w:pPr>
            <w:r w:rsidRPr="00021A14">
              <w:rPr>
                <w:b/>
                <w:bCs/>
                <w:lang w:val="en-AU"/>
              </w:rPr>
              <w:t>Research</w:t>
            </w:r>
          </w:p>
        </w:tc>
        <w:tc>
          <w:tcPr>
            <w:tcW w:w="1114" w:type="dxa"/>
            <w:tcBorders>
              <w:top w:val="single" w:sz="24" w:space="0" w:color="00B0F0"/>
              <w:left w:val="single" w:sz="12" w:space="0" w:color="D0CECE" w:themeColor="background2" w:themeShade="E6"/>
              <w:bottom w:val="single" w:sz="24" w:space="0" w:color="00B0F0"/>
              <w:right w:val="single" w:sz="12" w:space="0" w:color="D0CECE" w:themeColor="background2" w:themeShade="E6"/>
            </w:tcBorders>
          </w:tcPr>
          <w:p w14:paraId="6087FDB3" w14:textId="062EAB23" w:rsidR="00021A14" w:rsidRPr="00021A14" w:rsidRDefault="00021A14" w:rsidP="00A96A5A">
            <w:pPr>
              <w:rPr>
                <w:b/>
                <w:bCs/>
                <w:lang w:val="en-AU"/>
              </w:rPr>
            </w:pPr>
            <w:r w:rsidRPr="00021A14">
              <w:rPr>
                <w:b/>
                <w:bCs/>
                <w:lang w:val="en-AU"/>
              </w:rPr>
              <w:t>Total number of initiatives</w:t>
            </w:r>
          </w:p>
        </w:tc>
      </w:tr>
      <w:tr w:rsidR="00E428DD" w14:paraId="4E580D40" w14:textId="3B605A92" w:rsidTr="00B32400">
        <w:trPr>
          <w:trHeight w:val="166"/>
        </w:trPr>
        <w:tc>
          <w:tcPr>
            <w:tcW w:w="1121" w:type="dxa"/>
            <w:tcBorders>
              <w:top w:val="single" w:sz="24" w:space="0" w:color="00B0F0"/>
              <w:left w:val="single" w:sz="12" w:space="0" w:color="D0CECE" w:themeColor="background2" w:themeShade="E6"/>
              <w:bottom w:val="single" w:sz="12" w:space="0" w:color="D0CECE" w:themeColor="background2" w:themeShade="E6"/>
              <w:right w:val="single" w:sz="12" w:space="0" w:color="D0CECE" w:themeColor="background2" w:themeShade="E6"/>
            </w:tcBorders>
          </w:tcPr>
          <w:p w14:paraId="67E0386E" w14:textId="2B5DE2DF" w:rsidR="00021A14" w:rsidRPr="00021A14" w:rsidRDefault="00021A14" w:rsidP="00A96A5A">
            <w:pPr>
              <w:rPr>
                <w:b/>
                <w:bCs/>
                <w:lang w:val="en-AU"/>
              </w:rPr>
            </w:pPr>
            <w:r w:rsidRPr="00021A14">
              <w:rPr>
                <w:b/>
                <w:bCs/>
                <w:lang w:val="en-AU"/>
              </w:rPr>
              <w:t>$0-$999</w:t>
            </w:r>
          </w:p>
        </w:tc>
        <w:tc>
          <w:tcPr>
            <w:tcW w:w="1216" w:type="dxa"/>
            <w:tcBorders>
              <w:top w:val="single" w:sz="24" w:space="0" w:color="00B0F0"/>
              <w:left w:val="single" w:sz="12" w:space="0" w:color="D0CECE" w:themeColor="background2" w:themeShade="E6"/>
              <w:bottom w:val="single" w:sz="12" w:space="0" w:color="D0CECE" w:themeColor="background2" w:themeShade="E6"/>
              <w:right w:val="single" w:sz="12" w:space="0" w:color="D0CECE" w:themeColor="background2" w:themeShade="E6"/>
            </w:tcBorders>
          </w:tcPr>
          <w:p w14:paraId="1FE1BB70" w14:textId="2980CC98" w:rsidR="00021A14" w:rsidRDefault="0074224F" w:rsidP="00A96A5A">
            <w:pPr>
              <w:rPr>
                <w:lang w:val="en-AU"/>
              </w:rPr>
            </w:pPr>
            <w:r>
              <w:rPr>
                <w:lang w:val="en-AU"/>
              </w:rPr>
              <w:t>50</w:t>
            </w:r>
            <w:r w:rsidR="00021A14">
              <w:rPr>
                <w:lang w:val="en-AU"/>
              </w:rPr>
              <w:t>%</w:t>
            </w:r>
          </w:p>
        </w:tc>
        <w:tc>
          <w:tcPr>
            <w:tcW w:w="1151" w:type="dxa"/>
            <w:tcBorders>
              <w:top w:val="single" w:sz="24" w:space="0" w:color="00B0F0"/>
              <w:left w:val="single" w:sz="12" w:space="0" w:color="D0CECE" w:themeColor="background2" w:themeShade="E6"/>
              <w:bottom w:val="single" w:sz="12" w:space="0" w:color="D0CECE" w:themeColor="background2" w:themeShade="E6"/>
              <w:right w:val="single" w:sz="12" w:space="0" w:color="D0CECE" w:themeColor="background2" w:themeShade="E6"/>
            </w:tcBorders>
          </w:tcPr>
          <w:p w14:paraId="31E08B9C" w14:textId="37B6B7E6" w:rsidR="00021A14" w:rsidRDefault="00021A14" w:rsidP="00A96A5A">
            <w:pPr>
              <w:rPr>
                <w:lang w:val="en-AU"/>
              </w:rPr>
            </w:pPr>
            <w:r>
              <w:rPr>
                <w:lang w:val="en-AU"/>
              </w:rPr>
              <w:t>1</w:t>
            </w:r>
            <w:r w:rsidR="0074224F">
              <w:rPr>
                <w:lang w:val="en-AU"/>
              </w:rPr>
              <w:t>8</w:t>
            </w:r>
            <w:r>
              <w:rPr>
                <w:lang w:val="en-AU"/>
              </w:rPr>
              <w:t>%</w:t>
            </w:r>
          </w:p>
        </w:tc>
        <w:tc>
          <w:tcPr>
            <w:tcW w:w="1357" w:type="dxa"/>
            <w:tcBorders>
              <w:top w:val="single" w:sz="24" w:space="0" w:color="00B0F0"/>
              <w:left w:val="single" w:sz="12" w:space="0" w:color="D0CECE" w:themeColor="background2" w:themeShade="E6"/>
              <w:bottom w:val="single" w:sz="12" w:space="0" w:color="D0CECE" w:themeColor="background2" w:themeShade="E6"/>
              <w:right w:val="single" w:sz="12" w:space="0" w:color="D0CECE" w:themeColor="background2" w:themeShade="E6"/>
            </w:tcBorders>
          </w:tcPr>
          <w:p w14:paraId="0E58A3EF" w14:textId="4B28BFCC" w:rsidR="00021A14" w:rsidRDefault="00021A14" w:rsidP="00A96A5A">
            <w:pPr>
              <w:rPr>
                <w:lang w:val="en-AU"/>
              </w:rPr>
            </w:pPr>
            <w:r>
              <w:rPr>
                <w:lang w:val="en-AU"/>
              </w:rPr>
              <w:t>2</w:t>
            </w:r>
            <w:r w:rsidR="0074224F">
              <w:rPr>
                <w:lang w:val="en-AU"/>
              </w:rPr>
              <w:t>1%</w:t>
            </w:r>
          </w:p>
        </w:tc>
        <w:tc>
          <w:tcPr>
            <w:tcW w:w="1554" w:type="dxa"/>
            <w:tcBorders>
              <w:top w:val="single" w:sz="24" w:space="0" w:color="00B0F0"/>
              <w:left w:val="single" w:sz="12" w:space="0" w:color="D0CECE" w:themeColor="background2" w:themeShade="E6"/>
              <w:bottom w:val="single" w:sz="12" w:space="0" w:color="D0CECE" w:themeColor="background2" w:themeShade="E6"/>
              <w:right w:val="single" w:sz="12" w:space="0" w:color="D0CECE" w:themeColor="background2" w:themeShade="E6"/>
            </w:tcBorders>
          </w:tcPr>
          <w:p w14:paraId="7995CD81" w14:textId="3B86FFE0" w:rsidR="00021A14" w:rsidRDefault="00532562" w:rsidP="00A96A5A">
            <w:pPr>
              <w:rPr>
                <w:lang w:val="en-AU"/>
              </w:rPr>
            </w:pPr>
            <w:r>
              <w:rPr>
                <w:lang w:val="en-AU"/>
              </w:rPr>
              <w:t>5</w:t>
            </w:r>
            <w:r w:rsidR="00021A14">
              <w:rPr>
                <w:lang w:val="en-AU"/>
              </w:rPr>
              <w:t>%</w:t>
            </w:r>
          </w:p>
        </w:tc>
        <w:tc>
          <w:tcPr>
            <w:tcW w:w="1157" w:type="dxa"/>
            <w:tcBorders>
              <w:top w:val="single" w:sz="24" w:space="0" w:color="00B0F0"/>
              <w:left w:val="single" w:sz="12" w:space="0" w:color="D0CECE" w:themeColor="background2" w:themeShade="E6"/>
              <w:bottom w:val="single" w:sz="12" w:space="0" w:color="D0CECE" w:themeColor="background2" w:themeShade="E6"/>
              <w:right w:val="single" w:sz="12" w:space="0" w:color="D0CECE" w:themeColor="background2" w:themeShade="E6"/>
            </w:tcBorders>
          </w:tcPr>
          <w:p w14:paraId="02F9CB39" w14:textId="5EE662F6" w:rsidR="00021A14" w:rsidRDefault="00021A14" w:rsidP="00A96A5A">
            <w:pPr>
              <w:rPr>
                <w:lang w:val="en-AU"/>
              </w:rPr>
            </w:pPr>
            <w:r>
              <w:rPr>
                <w:lang w:val="en-AU"/>
              </w:rPr>
              <w:t>5%</w:t>
            </w:r>
          </w:p>
        </w:tc>
        <w:tc>
          <w:tcPr>
            <w:tcW w:w="1047" w:type="dxa"/>
            <w:tcBorders>
              <w:top w:val="single" w:sz="24" w:space="0" w:color="00B0F0"/>
              <w:left w:val="single" w:sz="12" w:space="0" w:color="D0CECE" w:themeColor="background2" w:themeShade="E6"/>
              <w:bottom w:val="single" w:sz="12" w:space="0" w:color="D0CECE" w:themeColor="background2" w:themeShade="E6"/>
              <w:right w:val="single" w:sz="12" w:space="0" w:color="D0CECE" w:themeColor="background2" w:themeShade="E6"/>
            </w:tcBorders>
          </w:tcPr>
          <w:p w14:paraId="43F5F8D6" w14:textId="77777777" w:rsidR="00021A14" w:rsidRDefault="00021A14" w:rsidP="00A96A5A">
            <w:pPr>
              <w:rPr>
                <w:lang w:val="en-AU"/>
              </w:rPr>
            </w:pPr>
          </w:p>
        </w:tc>
        <w:tc>
          <w:tcPr>
            <w:tcW w:w="1114" w:type="dxa"/>
            <w:tcBorders>
              <w:top w:val="single" w:sz="24" w:space="0" w:color="00B0F0"/>
              <w:left w:val="single" w:sz="12" w:space="0" w:color="D0CECE" w:themeColor="background2" w:themeShade="E6"/>
              <w:bottom w:val="single" w:sz="12" w:space="0" w:color="D0CECE" w:themeColor="background2" w:themeShade="E6"/>
              <w:right w:val="single" w:sz="12" w:space="0" w:color="D0CECE" w:themeColor="background2" w:themeShade="E6"/>
            </w:tcBorders>
          </w:tcPr>
          <w:p w14:paraId="7A7F78A3" w14:textId="796B4376" w:rsidR="00021A14" w:rsidRDefault="00532562" w:rsidP="00A96A5A">
            <w:pPr>
              <w:rPr>
                <w:lang w:val="en-AU"/>
              </w:rPr>
            </w:pPr>
            <w:r>
              <w:rPr>
                <w:lang w:val="en-AU"/>
              </w:rPr>
              <w:t>22</w:t>
            </w:r>
          </w:p>
        </w:tc>
      </w:tr>
      <w:tr w:rsidR="00E428DD" w14:paraId="10481FD2" w14:textId="16FD33B4" w:rsidTr="00B32400">
        <w:trPr>
          <w:trHeight w:val="342"/>
        </w:trPr>
        <w:tc>
          <w:tcPr>
            <w:tcW w:w="1121" w:type="dxa"/>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tcPr>
          <w:p w14:paraId="2301231F" w14:textId="6F2BA17C" w:rsidR="00021A14" w:rsidRPr="00021A14" w:rsidRDefault="00021A14" w:rsidP="00A96A5A">
            <w:pPr>
              <w:rPr>
                <w:b/>
                <w:bCs/>
                <w:lang w:val="en-AU"/>
              </w:rPr>
            </w:pPr>
            <w:r w:rsidRPr="00021A14">
              <w:rPr>
                <w:b/>
                <w:bCs/>
                <w:lang w:val="en-AU"/>
              </w:rPr>
              <w:lastRenderedPageBreak/>
              <w:t>$1,000-$9,999</w:t>
            </w:r>
          </w:p>
        </w:tc>
        <w:tc>
          <w:tcPr>
            <w:tcW w:w="1216" w:type="dxa"/>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tcPr>
          <w:p w14:paraId="7DAD320D" w14:textId="2083470E" w:rsidR="00021A14" w:rsidRDefault="00021A14" w:rsidP="00A96A5A">
            <w:pPr>
              <w:rPr>
                <w:lang w:val="en-AU"/>
              </w:rPr>
            </w:pPr>
            <w:r>
              <w:rPr>
                <w:lang w:val="en-AU"/>
              </w:rPr>
              <w:t>3</w:t>
            </w:r>
            <w:r w:rsidR="0074224F">
              <w:rPr>
                <w:lang w:val="en-AU"/>
              </w:rPr>
              <w:t>8</w:t>
            </w:r>
            <w:r>
              <w:rPr>
                <w:lang w:val="en-AU"/>
              </w:rPr>
              <w:t>%</w:t>
            </w:r>
          </w:p>
        </w:tc>
        <w:tc>
          <w:tcPr>
            <w:tcW w:w="1151" w:type="dxa"/>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tcPr>
          <w:p w14:paraId="78661C19" w14:textId="2B00519A" w:rsidR="00021A14" w:rsidRDefault="00021A14" w:rsidP="00A96A5A">
            <w:pPr>
              <w:rPr>
                <w:lang w:val="en-AU"/>
              </w:rPr>
            </w:pPr>
            <w:r>
              <w:rPr>
                <w:lang w:val="en-AU"/>
              </w:rPr>
              <w:t>2</w:t>
            </w:r>
            <w:r w:rsidR="0074224F">
              <w:rPr>
                <w:lang w:val="en-AU"/>
              </w:rPr>
              <w:t>9</w:t>
            </w:r>
            <w:r>
              <w:rPr>
                <w:lang w:val="en-AU"/>
              </w:rPr>
              <w:t>%</w:t>
            </w:r>
          </w:p>
        </w:tc>
        <w:tc>
          <w:tcPr>
            <w:tcW w:w="1357" w:type="dxa"/>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tcPr>
          <w:p w14:paraId="0050E332" w14:textId="1EDDF604" w:rsidR="00021A14" w:rsidRDefault="0074224F" w:rsidP="00A96A5A">
            <w:pPr>
              <w:rPr>
                <w:lang w:val="en-AU"/>
              </w:rPr>
            </w:pPr>
            <w:r>
              <w:rPr>
                <w:lang w:val="en-AU"/>
              </w:rPr>
              <w:t>17%</w:t>
            </w:r>
          </w:p>
        </w:tc>
        <w:tc>
          <w:tcPr>
            <w:tcW w:w="1554" w:type="dxa"/>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tcPr>
          <w:p w14:paraId="3A28AF3C" w14:textId="04BC60AF" w:rsidR="00021A14" w:rsidRDefault="00532562" w:rsidP="00A96A5A">
            <w:pPr>
              <w:rPr>
                <w:lang w:val="en-AU"/>
              </w:rPr>
            </w:pPr>
            <w:r>
              <w:rPr>
                <w:lang w:val="en-AU"/>
              </w:rPr>
              <w:t>5</w:t>
            </w:r>
            <w:r w:rsidR="00021A14">
              <w:rPr>
                <w:lang w:val="en-AU"/>
              </w:rPr>
              <w:t>%</w:t>
            </w:r>
          </w:p>
        </w:tc>
        <w:tc>
          <w:tcPr>
            <w:tcW w:w="1157" w:type="dxa"/>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tcPr>
          <w:p w14:paraId="45D761DF" w14:textId="14297453" w:rsidR="00021A14" w:rsidRDefault="00021A14" w:rsidP="00A96A5A">
            <w:pPr>
              <w:rPr>
                <w:lang w:val="en-AU"/>
              </w:rPr>
            </w:pPr>
            <w:r>
              <w:rPr>
                <w:lang w:val="en-AU"/>
              </w:rPr>
              <w:t>9%</w:t>
            </w:r>
          </w:p>
        </w:tc>
        <w:tc>
          <w:tcPr>
            <w:tcW w:w="1047" w:type="dxa"/>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tcPr>
          <w:p w14:paraId="72D27E67" w14:textId="5FF1E239" w:rsidR="00021A14" w:rsidRDefault="00021A14" w:rsidP="00A96A5A">
            <w:pPr>
              <w:rPr>
                <w:lang w:val="en-AU"/>
              </w:rPr>
            </w:pPr>
            <w:r>
              <w:rPr>
                <w:lang w:val="en-AU"/>
              </w:rPr>
              <w:t>2%</w:t>
            </w:r>
          </w:p>
        </w:tc>
        <w:tc>
          <w:tcPr>
            <w:tcW w:w="1114" w:type="dxa"/>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tcPr>
          <w:p w14:paraId="0AB53837" w14:textId="3757EDCC" w:rsidR="00021A14" w:rsidRDefault="00532562" w:rsidP="00A96A5A">
            <w:pPr>
              <w:rPr>
                <w:lang w:val="en-AU"/>
              </w:rPr>
            </w:pPr>
            <w:r>
              <w:rPr>
                <w:lang w:val="en-AU"/>
              </w:rPr>
              <w:t>23</w:t>
            </w:r>
          </w:p>
        </w:tc>
      </w:tr>
      <w:tr w:rsidR="00E428DD" w14:paraId="4C662DFE" w14:textId="03D5D6AF" w:rsidTr="00B32400">
        <w:trPr>
          <w:trHeight w:val="351"/>
        </w:trPr>
        <w:tc>
          <w:tcPr>
            <w:tcW w:w="1121" w:type="dxa"/>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tcPr>
          <w:p w14:paraId="39F96C11" w14:textId="4EBF76F5" w:rsidR="00021A14" w:rsidRPr="00021A14" w:rsidRDefault="00021A14" w:rsidP="00A96A5A">
            <w:pPr>
              <w:rPr>
                <w:b/>
                <w:bCs/>
                <w:lang w:val="en-AU"/>
              </w:rPr>
            </w:pPr>
            <w:r w:rsidRPr="00021A14">
              <w:rPr>
                <w:b/>
                <w:bCs/>
                <w:lang w:val="en-AU"/>
              </w:rPr>
              <w:t>$10,000-$49,999</w:t>
            </w:r>
          </w:p>
        </w:tc>
        <w:tc>
          <w:tcPr>
            <w:tcW w:w="1216" w:type="dxa"/>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tcPr>
          <w:p w14:paraId="30B3AB88" w14:textId="32994721" w:rsidR="00021A14" w:rsidRDefault="00021A14" w:rsidP="00A96A5A">
            <w:pPr>
              <w:rPr>
                <w:lang w:val="en-AU"/>
              </w:rPr>
            </w:pPr>
            <w:r>
              <w:rPr>
                <w:lang w:val="en-AU"/>
              </w:rPr>
              <w:t>32%</w:t>
            </w:r>
          </w:p>
        </w:tc>
        <w:tc>
          <w:tcPr>
            <w:tcW w:w="1151" w:type="dxa"/>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tcPr>
          <w:p w14:paraId="77C854B3" w14:textId="38227D55" w:rsidR="00021A14" w:rsidRDefault="00021A14" w:rsidP="00A96A5A">
            <w:pPr>
              <w:rPr>
                <w:lang w:val="en-AU"/>
              </w:rPr>
            </w:pPr>
            <w:r>
              <w:rPr>
                <w:lang w:val="en-AU"/>
              </w:rPr>
              <w:t>2</w:t>
            </w:r>
            <w:r w:rsidR="0074224F">
              <w:rPr>
                <w:lang w:val="en-AU"/>
              </w:rPr>
              <w:t>7</w:t>
            </w:r>
            <w:r>
              <w:rPr>
                <w:lang w:val="en-AU"/>
              </w:rPr>
              <w:t>%</w:t>
            </w:r>
          </w:p>
        </w:tc>
        <w:tc>
          <w:tcPr>
            <w:tcW w:w="1357" w:type="dxa"/>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tcPr>
          <w:p w14:paraId="5B663E21" w14:textId="36CB5875" w:rsidR="00021A14" w:rsidRDefault="00021A14" w:rsidP="00A96A5A">
            <w:pPr>
              <w:rPr>
                <w:lang w:val="en-AU"/>
              </w:rPr>
            </w:pPr>
            <w:r>
              <w:rPr>
                <w:lang w:val="en-AU"/>
              </w:rPr>
              <w:t>16%</w:t>
            </w:r>
          </w:p>
        </w:tc>
        <w:tc>
          <w:tcPr>
            <w:tcW w:w="1554" w:type="dxa"/>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tcPr>
          <w:p w14:paraId="7C6A4F6D" w14:textId="706ACBF4" w:rsidR="00021A14" w:rsidRDefault="00021A14" w:rsidP="00A96A5A">
            <w:pPr>
              <w:rPr>
                <w:lang w:val="en-AU"/>
              </w:rPr>
            </w:pPr>
            <w:r>
              <w:rPr>
                <w:lang w:val="en-AU"/>
              </w:rPr>
              <w:t>16%</w:t>
            </w:r>
          </w:p>
        </w:tc>
        <w:tc>
          <w:tcPr>
            <w:tcW w:w="1157" w:type="dxa"/>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tcPr>
          <w:p w14:paraId="157607D4" w14:textId="2D5792BE" w:rsidR="00021A14" w:rsidRDefault="00021A14" w:rsidP="00A96A5A">
            <w:pPr>
              <w:rPr>
                <w:lang w:val="en-AU"/>
              </w:rPr>
            </w:pPr>
            <w:r>
              <w:rPr>
                <w:lang w:val="en-AU"/>
              </w:rPr>
              <w:t>5%</w:t>
            </w:r>
          </w:p>
        </w:tc>
        <w:tc>
          <w:tcPr>
            <w:tcW w:w="1047" w:type="dxa"/>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tcPr>
          <w:p w14:paraId="6C1713F9" w14:textId="6EEE7C64" w:rsidR="00021A14" w:rsidRDefault="00D760F2" w:rsidP="00A96A5A">
            <w:pPr>
              <w:rPr>
                <w:lang w:val="en-AU"/>
              </w:rPr>
            </w:pPr>
            <w:r>
              <w:rPr>
                <w:lang w:val="en-AU"/>
              </w:rPr>
              <w:t>3%</w:t>
            </w:r>
          </w:p>
        </w:tc>
        <w:tc>
          <w:tcPr>
            <w:tcW w:w="1114" w:type="dxa"/>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tcPr>
          <w:p w14:paraId="3D99B551" w14:textId="21637132" w:rsidR="00021A14" w:rsidRDefault="00D760F2" w:rsidP="00A96A5A">
            <w:pPr>
              <w:rPr>
                <w:lang w:val="en-AU"/>
              </w:rPr>
            </w:pPr>
            <w:r>
              <w:rPr>
                <w:lang w:val="en-AU"/>
              </w:rPr>
              <w:t>1</w:t>
            </w:r>
            <w:r w:rsidR="00532562">
              <w:rPr>
                <w:lang w:val="en-AU"/>
              </w:rPr>
              <w:t>3</w:t>
            </w:r>
          </w:p>
        </w:tc>
      </w:tr>
      <w:tr w:rsidR="00E428DD" w14:paraId="47A43566" w14:textId="2404C1E1" w:rsidTr="00B32400">
        <w:trPr>
          <w:trHeight w:val="342"/>
        </w:trPr>
        <w:tc>
          <w:tcPr>
            <w:tcW w:w="1121" w:type="dxa"/>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tcPr>
          <w:p w14:paraId="06FF50E7" w14:textId="0AA5AA4C" w:rsidR="00021A14" w:rsidRPr="00021A14" w:rsidRDefault="00021A14" w:rsidP="00A96A5A">
            <w:pPr>
              <w:rPr>
                <w:b/>
                <w:bCs/>
                <w:lang w:val="en-AU"/>
              </w:rPr>
            </w:pPr>
            <w:r w:rsidRPr="00021A14">
              <w:rPr>
                <w:b/>
                <w:bCs/>
                <w:lang w:val="en-AU"/>
              </w:rPr>
              <w:t>$50,000-$99,999</w:t>
            </w:r>
          </w:p>
        </w:tc>
        <w:tc>
          <w:tcPr>
            <w:tcW w:w="1216" w:type="dxa"/>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tcPr>
          <w:p w14:paraId="0BCF696A" w14:textId="5632DD3F" w:rsidR="00021A14" w:rsidRDefault="0074224F" w:rsidP="00A96A5A">
            <w:pPr>
              <w:rPr>
                <w:lang w:val="en-AU"/>
              </w:rPr>
            </w:pPr>
            <w:r>
              <w:rPr>
                <w:lang w:val="en-AU"/>
              </w:rPr>
              <w:t>32</w:t>
            </w:r>
            <w:r w:rsidR="00021A14">
              <w:rPr>
                <w:lang w:val="en-AU"/>
              </w:rPr>
              <w:t>%</w:t>
            </w:r>
          </w:p>
        </w:tc>
        <w:tc>
          <w:tcPr>
            <w:tcW w:w="1151" w:type="dxa"/>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tcPr>
          <w:p w14:paraId="2F0BC387" w14:textId="0CC17FC2" w:rsidR="00021A14" w:rsidRDefault="00021A14" w:rsidP="00A96A5A">
            <w:pPr>
              <w:rPr>
                <w:lang w:val="en-AU"/>
              </w:rPr>
            </w:pPr>
            <w:r>
              <w:rPr>
                <w:lang w:val="en-AU"/>
              </w:rPr>
              <w:t>2</w:t>
            </w:r>
            <w:r w:rsidR="0074224F">
              <w:rPr>
                <w:lang w:val="en-AU"/>
              </w:rPr>
              <w:t>7</w:t>
            </w:r>
            <w:r w:rsidR="00693223">
              <w:rPr>
                <w:lang w:val="en-AU"/>
              </w:rPr>
              <w:t>%</w:t>
            </w:r>
          </w:p>
        </w:tc>
        <w:tc>
          <w:tcPr>
            <w:tcW w:w="1357" w:type="dxa"/>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tcPr>
          <w:p w14:paraId="7158D879" w14:textId="10F152F1" w:rsidR="00021A14" w:rsidRDefault="00021A14" w:rsidP="00A96A5A">
            <w:pPr>
              <w:rPr>
                <w:lang w:val="en-AU"/>
              </w:rPr>
            </w:pPr>
            <w:r>
              <w:rPr>
                <w:lang w:val="en-AU"/>
              </w:rPr>
              <w:t>2</w:t>
            </w:r>
            <w:r w:rsidR="0074224F">
              <w:rPr>
                <w:lang w:val="en-AU"/>
              </w:rPr>
              <w:t>0</w:t>
            </w:r>
            <w:r>
              <w:rPr>
                <w:lang w:val="en-AU"/>
              </w:rPr>
              <w:t>%</w:t>
            </w:r>
          </w:p>
        </w:tc>
        <w:tc>
          <w:tcPr>
            <w:tcW w:w="1554" w:type="dxa"/>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tcPr>
          <w:p w14:paraId="78759044" w14:textId="2CAF004C" w:rsidR="00021A14" w:rsidRDefault="00693223" w:rsidP="00A96A5A">
            <w:pPr>
              <w:rPr>
                <w:lang w:val="en-AU"/>
              </w:rPr>
            </w:pPr>
            <w:r>
              <w:rPr>
                <w:lang w:val="en-AU"/>
              </w:rPr>
              <w:t>1</w:t>
            </w:r>
            <w:r w:rsidR="00532562">
              <w:rPr>
                <w:lang w:val="en-AU"/>
              </w:rPr>
              <w:t>0</w:t>
            </w:r>
            <w:r w:rsidR="00021A14">
              <w:rPr>
                <w:lang w:val="en-AU"/>
              </w:rPr>
              <w:t>%</w:t>
            </w:r>
          </w:p>
        </w:tc>
        <w:tc>
          <w:tcPr>
            <w:tcW w:w="1157" w:type="dxa"/>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tcPr>
          <w:p w14:paraId="512C79B6" w14:textId="2B74812C" w:rsidR="00021A14" w:rsidRDefault="00021A14" w:rsidP="00A96A5A">
            <w:pPr>
              <w:rPr>
                <w:lang w:val="en-AU"/>
              </w:rPr>
            </w:pPr>
            <w:r>
              <w:rPr>
                <w:lang w:val="en-AU"/>
              </w:rPr>
              <w:t>10%</w:t>
            </w:r>
          </w:p>
        </w:tc>
        <w:tc>
          <w:tcPr>
            <w:tcW w:w="1047" w:type="dxa"/>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tcPr>
          <w:p w14:paraId="32462272" w14:textId="294C8145" w:rsidR="00021A14" w:rsidRDefault="00532562" w:rsidP="00A96A5A">
            <w:pPr>
              <w:rPr>
                <w:lang w:val="en-AU"/>
              </w:rPr>
            </w:pPr>
            <w:r>
              <w:rPr>
                <w:lang w:val="en-AU"/>
              </w:rPr>
              <w:t>2%</w:t>
            </w:r>
          </w:p>
        </w:tc>
        <w:tc>
          <w:tcPr>
            <w:tcW w:w="1114" w:type="dxa"/>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tcPr>
          <w:p w14:paraId="658EAD60" w14:textId="64559BD4" w:rsidR="00021A14" w:rsidRDefault="00D760F2" w:rsidP="00A96A5A">
            <w:pPr>
              <w:rPr>
                <w:lang w:val="en-AU"/>
              </w:rPr>
            </w:pPr>
            <w:r>
              <w:rPr>
                <w:lang w:val="en-AU"/>
              </w:rPr>
              <w:t>1</w:t>
            </w:r>
            <w:r w:rsidR="00532562">
              <w:rPr>
                <w:lang w:val="en-AU"/>
              </w:rPr>
              <w:t>4</w:t>
            </w:r>
          </w:p>
        </w:tc>
      </w:tr>
      <w:tr w:rsidR="00E428DD" w14:paraId="692F25F6" w14:textId="6991413F" w:rsidTr="00B32400">
        <w:trPr>
          <w:trHeight w:val="517"/>
        </w:trPr>
        <w:tc>
          <w:tcPr>
            <w:tcW w:w="1121" w:type="dxa"/>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tcPr>
          <w:p w14:paraId="01A15690" w14:textId="4FFDA325" w:rsidR="00021A14" w:rsidRPr="00021A14" w:rsidRDefault="00021A14" w:rsidP="00A96A5A">
            <w:pPr>
              <w:rPr>
                <w:b/>
                <w:bCs/>
                <w:lang w:val="en-AU"/>
              </w:rPr>
            </w:pPr>
            <w:r w:rsidRPr="00021A14">
              <w:rPr>
                <w:b/>
                <w:bCs/>
                <w:lang w:val="en-AU"/>
              </w:rPr>
              <w:t>$100,000-$499,999</w:t>
            </w:r>
          </w:p>
        </w:tc>
        <w:tc>
          <w:tcPr>
            <w:tcW w:w="1216" w:type="dxa"/>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tcPr>
          <w:p w14:paraId="258270E3" w14:textId="6110C453" w:rsidR="00021A14" w:rsidRDefault="00021A14" w:rsidP="00A96A5A">
            <w:pPr>
              <w:rPr>
                <w:lang w:val="en-AU"/>
              </w:rPr>
            </w:pPr>
            <w:r>
              <w:rPr>
                <w:lang w:val="en-AU"/>
              </w:rPr>
              <w:t>2</w:t>
            </w:r>
            <w:r w:rsidR="0074224F">
              <w:rPr>
                <w:lang w:val="en-AU"/>
              </w:rPr>
              <w:t>9</w:t>
            </w:r>
            <w:r>
              <w:rPr>
                <w:lang w:val="en-AU"/>
              </w:rPr>
              <w:t>%</w:t>
            </w:r>
          </w:p>
        </w:tc>
        <w:tc>
          <w:tcPr>
            <w:tcW w:w="1151" w:type="dxa"/>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tcPr>
          <w:p w14:paraId="18316C24" w14:textId="4F6AC65C" w:rsidR="00021A14" w:rsidRDefault="00693223" w:rsidP="00A96A5A">
            <w:pPr>
              <w:rPr>
                <w:lang w:val="en-AU"/>
              </w:rPr>
            </w:pPr>
            <w:r>
              <w:rPr>
                <w:lang w:val="en-AU"/>
              </w:rPr>
              <w:t>3</w:t>
            </w:r>
            <w:r w:rsidR="0074224F">
              <w:rPr>
                <w:lang w:val="en-AU"/>
              </w:rPr>
              <w:t>7</w:t>
            </w:r>
            <w:r w:rsidR="00021A14">
              <w:rPr>
                <w:lang w:val="en-AU"/>
              </w:rPr>
              <w:t>%</w:t>
            </w:r>
          </w:p>
        </w:tc>
        <w:tc>
          <w:tcPr>
            <w:tcW w:w="1357" w:type="dxa"/>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tcPr>
          <w:p w14:paraId="3B0E5E7C" w14:textId="2A3C7AE6" w:rsidR="00021A14" w:rsidRDefault="00021A14" w:rsidP="00A96A5A">
            <w:pPr>
              <w:rPr>
                <w:lang w:val="en-AU"/>
              </w:rPr>
            </w:pPr>
            <w:r>
              <w:rPr>
                <w:lang w:val="en-AU"/>
              </w:rPr>
              <w:t>18%</w:t>
            </w:r>
          </w:p>
        </w:tc>
        <w:tc>
          <w:tcPr>
            <w:tcW w:w="1554" w:type="dxa"/>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tcPr>
          <w:p w14:paraId="314B7C20" w14:textId="78641DC1" w:rsidR="00021A14" w:rsidRDefault="00021A14" w:rsidP="00A96A5A">
            <w:pPr>
              <w:rPr>
                <w:lang w:val="en-AU"/>
              </w:rPr>
            </w:pPr>
            <w:r>
              <w:rPr>
                <w:lang w:val="en-AU"/>
              </w:rPr>
              <w:t>13%</w:t>
            </w:r>
          </w:p>
        </w:tc>
        <w:tc>
          <w:tcPr>
            <w:tcW w:w="1157" w:type="dxa"/>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tcPr>
          <w:p w14:paraId="37E594EB" w14:textId="16864B65" w:rsidR="00021A14" w:rsidRDefault="00021A14" w:rsidP="00A96A5A">
            <w:pPr>
              <w:rPr>
                <w:lang w:val="en-AU"/>
              </w:rPr>
            </w:pPr>
            <w:r>
              <w:rPr>
                <w:lang w:val="en-AU"/>
              </w:rPr>
              <w:t>11%</w:t>
            </w:r>
          </w:p>
        </w:tc>
        <w:tc>
          <w:tcPr>
            <w:tcW w:w="1047" w:type="dxa"/>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tcPr>
          <w:p w14:paraId="7D8EC52C" w14:textId="28208885" w:rsidR="00021A14" w:rsidRDefault="00532562" w:rsidP="00A96A5A">
            <w:pPr>
              <w:rPr>
                <w:lang w:val="en-AU"/>
              </w:rPr>
            </w:pPr>
            <w:r>
              <w:rPr>
                <w:lang w:val="en-AU"/>
              </w:rPr>
              <w:t>2</w:t>
            </w:r>
            <w:r w:rsidR="00E428DD">
              <w:rPr>
                <w:lang w:val="en-AU"/>
              </w:rPr>
              <w:t>%</w:t>
            </w:r>
          </w:p>
        </w:tc>
        <w:tc>
          <w:tcPr>
            <w:tcW w:w="1114" w:type="dxa"/>
            <w:tcBorders>
              <w:top w:val="single" w:sz="12" w:space="0" w:color="D0CECE" w:themeColor="background2" w:themeShade="E6"/>
              <w:left w:val="single" w:sz="12" w:space="0" w:color="D0CECE" w:themeColor="background2" w:themeShade="E6"/>
              <w:bottom w:val="single" w:sz="12" w:space="0" w:color="D0CECE" w:themeColor="background2" w:themeShade="E6"/>
              <w:right w:val="single" w:sz="12" w:space="0" w:color="D0CECE" w:themeColor="background2" w:themeShade="E6"/>
            </w:tcBorders>
          </w:tcPr>
          <w:p w14:paraId="0480EBA0" w14:textId="25823BC6" w:rsidR="00021A14" w:rsidRDefault="00021A14" w:rsidP="00A96A5A">
            <w:pPr>
              <w:rPr>
                <w:lang w:val="en-AU"/>
              </w:rPr>
            </w:pPr>
            <w:r>
              <w:rPr>
                <w:lang w:val="en-AU"/>
              </w:rPr>
              <w:t>1</w:t>
            </w:r>
            <w:r w:rsidR="00532562">
              <w:rPr>
                <w:lang w:val="en-AU"/>
              </w:rPr>
              <w:t>5</w:t>
            </w:r>
          </w:p>
        </w:tc>
      </w:tr>
      <w:tr w:rsidR="00E428DD" w14:paraId="6989924E" w14:textId="03895CC8" w:rsidTr="00B32400">
        <w:trPr>
          <w:trHeight w:val="342"/>
        </w:trPr>
        <w:tc>
          <w:tcPr>
            <w:tcW w:w="1121" w:type="dxa"/>
            <w:tcBorders>
              <w:top w:val="single" w:sz="12" w:space="0" w:color="D0CECE" w:themeColor="background2" w:themeShade="E6"/>
              <w:left w:val="single" w:sz="12" w:space="0" w:color="D0CECE" w:themeColor="background2" w:themeShade="E6"/>
              <w:right w:val="single" w:sz="12" w:space="0" w:color="D0CECE" w:themeColor="background2" w:themeShade="E6"/>
            </w:tcBorders>
          </w:tcPr>
          <w:p w14:paraId="50D04DAB" w14:textId="5520B3B4" w:rsidR="00021A14" w:rsidRPr="00021A14" w:rsidRDefault="00021A14" w:rsidP="00A96A5A">
            <w:pPr>
              <w:rPr>
                <w:b/>
                <w:bCs/>
                <w:lang w:val="en-AU"/>
              </w:rPr>
            </w:pPr>
            <w:r w:rsidRPr="00021A14">
              <w:rPr>
                <w:b/>
                <w:bCs/>
                <w:lang w:val="en-AU"/>
              </w:rPr>
              <w:t>$500,000 or more</w:t>
            </w:r>
          </w:p>
        </w:tc>
        <w:tc>
          <w:tcPr>
            <w:tcW w:w="1216" w:type="dxa"/>
            <w:tcBorders>
              <w:top w:val="single" w:sz="12" w:space="0" w:color="D0CECE" w:themeColor="background2" w:themeShade="E6"/>
              <w:left w:val="single" w:sz="12" w:space="0" w:color="D0CECE" w:themeColor="background2" w:themeShade="E6"/>
              <w:right w:val="single" w:sz="12" w:space="0" w:color="D0CECE" w:themeColor="background2" w:themeShade="E6"/>
            </w:tcBorders>
          </w:tcPr>
          <w:p w14:paraId="62408A43" w14:textId="71578FCA" w:rsidR="00021A14" w:rsidRDefault="0074224F" w:rsidP="00A96A5A">
            <w:pPr>
              <w:rPr>
                <w:lang w:val="en-AU"/>
              </w:rPr>
            </w:pPr>
            <w:r>
              <w:rPr>
                <w:lang w:val="en-AU"/>
              </w:rPr>
              <w:t>33</w:t>
            </w:r>
            <w:r w:rsidR="00021A14">
              <w:rPr>
                <w:lang w:val="en-AU"/>
              </w:rPr>
              <w:t>%</w:t>
            </w:r>
          </w:p>
        </w:tc>
        <w:tc>
          <w:tcPr>
            <w:tcW w:w="1151" w:type="dxa"/>
            <w:tcBorders>
              <w:top w:val="single" w:sz="12" w:space="0" w:color="D0CECE" w:themeColor="background2" w:themeShade="E6"/>
              <w:left w:val="single" w:sz="12" w:space="0" w:color="D0CECE" w:themeColor="background2" w:themeShade="E6"/>
              <w:right w:val="single" w:sz="12" w:space="0" w:color="D0CECE" w:themeColor="background2" w:themeShade="E6"/>
            </w:tcBorders>
          </w:tcPr>
          <w:p w14:paraId="610510D1" w14:textId="406176E3" w:rsidR="00021A14" w:rsidRDefault="0074224F" w:rsidP="00A96A5A">
            <w:pPr>
              <w:rPr>
                <w:lang w:val="en-AU"/>
              </w:rPr>
            </w:pPr>
            <w:r>
              <w:rPr>
                <w:lang w:val="en-AU"/>
              </w:rPr>
              <w:t>17</w:t>
            </w:r>
            <w:r w:rsidR="00693223">
              <w:rPr>
                <w:lang w:val="en-AU"/>
              </w:rPr>
              <w:t>%</w:t>
            </w:r>
          </w:p>
        </w:tc>
        <w:tc>
          <w:tcPr>
            <w:tcW w:w="1357" w:type="dxa"/>
            <w:tcBorders>
              <w:top w:val="single" w:sz="12" w:space="0" w:color="D0CECE" w:themeColor="background2" w:themeShade="E6"/>
              <w:left w:val="single" w:sz="12" w:space="0" w:color="D0CECE" w:themeColor="background2" w:themeShade="E6"/>
              <w:right w:val="single" w:sz="12" w:space="0" w:color="D0CECE" w:themeColor="background2" w:themeShade="E6"/>
            </w:tcBorders>
          </w:tcPr>
          <w:p w14:paraId="1A631205" w14:textId="03E74619" w:rsidR="00021A14" w:rsidRDefault="0074224F" w:rsidP="00A96A5A">
            <w:pPr>
              <w:rPr>
                <w:lang w:val="en-AU"/>
              </w:rPr>
            </w:pPr>
            <w:r>
              <w:rPr>
                <w:lang w:val="en-AU"/>
              </w:rPr>
              <w:t>33</w:t>
            </w:r>
            <w:r w:rsidR="00693223">
              <w:rPr>
                <w:lang w:val="en-AU"/>
              </w:rPr>
              <w:t>%</w:t>
            </w:r>
          </w:p>
        </w:tc>
        <w:tc>
          <w:tcPr>
            <w:tcW w:w="1554" w:type="dxa"/>
            <w:tcBorders>
              <w:top w:val="single" w:sz="12" w:space="0" w:color="D0CECE" w:themeColor="background2" w:themeShade="E6"/>
              <w:left w:val="single" w:sz="12" w:space="0" w:color="D0CECE" w:themeColor="background2" w:themeShade="E6"/>
              <w:right w:val="single" w:sz="12" w:space="0" w:color="D0CECE" w:themeColor="background2" w:themeShade="E6"/>
            </w:tcBorders>
          </w:tcPr>
          <w:p w14:paraId="65B71977" w14:textId="77777777" w:rsidR="00021A14" w:rsidRDefault="00021A14" w:rsidP="00A96A5A">
            <w:pPr>
              <w:rPr>
                <w:lang w:val="en-AU"/>
              </w:rPr>
            </w:pPr>
          </w:p>
        </w:tc>
        <w:tc>
          <w:tcPr>
            <w:tcW w:w="1157" w:type="dxa"/>
            <w:tcBorders>
              <w:top w:val="single" w:sz="12" w:space="0" w:color="D0CECE" w:themeColor="background2" w:themeShade="E6"/>
              <w:left w:val="single" w:sz="12" w:space="0" w:color="D0CECE" w:themeColor="background2" w:themeShade="E6"/>
              <w:right w:val="single" w:sz="12" w:space="0" w:color="D0CECE" w:themeColor="background2" w:themeShade="E6"/>
            </w:tcBorders>
          </w:tcPr>
          <w:p w14:paraId="3C58C74B" w14:textId="20DE3B56" w:rsidR="00021A14" w:rsidRDefault="00532562" w:rsidP="00A96A5A">
            <w:pPr>
              <w:rPr>
                <w:lang w:val="en-AU"/>
              </w:rPr>
            </w:pPr>
            <w:r>
              <w:rPr>
                <w:lang w:val="en-AU"/>
              </w:rPr>
              <w:t>17%</w:t>
            </w:r>
          </w:p>
        </w:tc>
        <w:tc>
          <w:tcPr>
            <w:tcW w:w="1047" w:type="dxa"/>
            <w:tcBorders>
              <w:top w:val="single" w:sz="12" w:space="0" w:color="D0CECE" w:themeColor="background2" w:themeShade="E6"/>
              <w:left w:val="single" w:sz="12" w:space="0" w:color="D0CECE" w:themeColor="background2" w:themeShade="E6"/>
              <w:right w:val="single" w:sz="12" w:space="0" w:color="D0CECE" w:themeColor="background2" w:themeShade="E6"/>
            </w:tcBorders>
          </w:tcPr>
          <w:p w14:paraId="34E252A7" w14:textId="77777777" w:rsidR="00021A14" w:rsidRDefault="00021A14" w:rsidP="00A96A5A">
            <w:pPr>
              <w:rPr>
                <w:lang w:val="en-AU"/>
              </w:rPr>
            </w:pPr>
          </w:p>
        </w:tc>
        <w:tc>
          <w:tcPr>
            <w:tcW w:w="1114" w:type="dxa"/>
            <w:tcBorders>
              <w:top w:val="single" w:sz="12" w:space="0" w:color="D0CECE" w:themeColor="background2" w:themeShade="E6"/>
              <w:left w:val="single" w:sz="12" w:space="0" w:color="D0CECE" w:themeColor="background2" w:themeShade="E6"/>
              <w:right w:val="single" w:sz="12" w:space="0" w:color="D0CECE" w:themeColor="background2" w:themeShade="E6"/>
            </w:tcBorders>
          </w:tcPr>
          <w:p w14:paraId="47B912BD" w14:textId="239003B0" w:rsidR="00021A14" w:rsidRDefault="00532562" w:rsidP="00A96A5A">
            <w:pPr>
              <w:rPr>
                <w:lang w:val="en-AU"/>
              </w:rPr>
            </w:pPr>
            <w:r>
              <w:rPr>
                <w:lang w:val="en-AU"/>
              </w:rPr>
              <w:t>2</w:t>
            </w:r>
          </w:p>
        </w:tc>
      </w:tr>
    </w:tbl>
    <w:p w14:paraId="47EF7155" w14:textId="77777777" w:rsidR="00EB5A8A" w:rsidRDefault="00EB5A8A" w:rsidP="00A96A5A">
      <w:r w:rsidRPr="00EB5A8A">
        <w:t>Source: N=89, Deloitte questionnaire, 2020. Figures may not add to 100% due to rounding error.</w:t>
      </w:r>
    </w:p>
    <w:p w14:paraId="72F6850F" w14:textId="5489DCFB" w:rsidR="007502F2" w:rsidRPr="007502F2" w:rsidRDefault="00736AC0" w:rsidP="00A96A5A">
      <w:pPr>
        <w:rPr>
          <w:lang w:val="en-AU"/>
        </w:rPr>
      </w:pPr>
      <w:r>
        <w:rPr>
          <w:lang w:val="en-AU"/>
        </w:rPr>
        <w:t xml:space="preserve">Primary prevention in sexual violence and sexual harassment </w:t>
      </w:r>
      <w:r w:rsidR="003F399B">
        <w:rPr>
          <w:lang w:val="en-AU"/>
        </w:rPr>
        <w:t xml:space="preserve">is emerging as a strong and </w:t>
      </w:r>
      <w:r w:rsidR="00B02EA7">
        <w:rPr>
          <w:lang w:val="en-AU"/>
        </w:rPr>
        <w:t xml:space="preserve">influential sector. Under the </w:t>
      </w:r>
      <w:r w:rsidR="00A27BF4">
        <w:rPr>
          <w:lang w:val="en-AU"/>
        </w:rPr>
        <w:t>guidance of the national policy framework, including the Fourth Action Plan, it can continue to evolve and grow.</w:t>
      </w:r>
    </w:p>
    <w:sectPr w:rsidR="007502F2" w:rsidRPr="007502F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BE125" w14:textId="77777777" w:rsidR="007A66E2" w:rsidRDefault="007A66E2" w:rsidP="001F4ADD">
      <w:pPr>
        <w:spacing w:after="0" w:line="240" w:lineRule="auto"/>
      </w:pPr>
      <w:r>
        <w:separator/>
      </w:r>
    </w:p>
  </w:endnote>
  <w:endnote w:type="continuationSeparator" w:id="0">
    <w:p w14:paraId="7863EC83" w14:textId="77777777" w:rsidR="007A66E2" w:rsidRDefault="007A66E2" w:rsidP="001F4ADD">
      <w:pPr>
        <w:spacing w:after="0" w:line="240" w:lineRule="auto"/>
      </w:pPr>
      <w:r>
        <w:continuationSeparator/>
      </w:r>
    </w:p>
  </w:endnote>
  <w:endnote w:type="continuationNotice" w:id="1">
    <w:p w14:paraId="2F11B5AF" w14:textId="77777777" w:rsidR="007A66E2" w:rsidRDefault="007A66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3353190"/>
      <w:docPartObj>
        <w:docPartGallery w:val="Page Numbers (Bottom of Page)"/>
        <w:docPartUnique/>
      </w:docPartObj>
    </w:sdtPr>
    <w:sdtEndPr>
      <w:rPr>
        <w:noProof/>
      </w:rPr>
    </w:sdtEndPr>
    <w:sdtContent>
      <w:p w14:paraId="19C8BEBB" w14:textId="3D06C55D" w:rsidR="0013483D" w:rsidRDefault="0013483D">
        <w:pPr>
          <w:jc w:val="right"/>
        </w:pPr>
        <w:r>
          <w:fldChar w:fldCharType="begin"/>
        </w:r>
        <w:r>
          <w:instrText xml:space="preserve"> PAGE   \* MERGEFORMAT </w:instrText>
        </w:r>
        <w:r>
          <w:fldChar w:fldCharType="separate"/>
        </w:r>
        <w:r>
          <w:rPr>
            <w:noProof/>
          </w:rPr>
          <w:t>2</w:t>
        </w:r>
        <w:r>
          <w:rPr>
            <w:noProof/>
          </w:rPr>
          <w:fldChar w:fldCharType="end"/>
        </w:r>
      </w:p>
    </w:sdtContent>
  </w:sdt>
  <w:p w14:paraId="5F7707CD" w14:textId="77777777" w:rsidR="001F4ADD" w:rsidRDefault="001F4AD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533C7" w14:textId="77777777" w:rsidR="007A66E2" w:rsidRDefault="007A66E2" w:rsidP="001F4ADD">
      <w:pPr>
        <w:spacing w:after="0" w:line="240" w:lineRule="auto"/>
      </w:pPr>
      <w:r>
        <w:separator/>
      </w:r>
    </w:p>
  </w:footnote>
  <w:footnote w:type="continuationSeparator" w:id="0">
    <w:p w14:paraId="69CCB34B" w14:textId="77777777" w:rsidR="007A66E2" w:rsidRDefault="007A66E2" w:rsidP="001F4ADD">
      <w:pPr>
        <w:spacing w:after="0" w:line="240" w:lineRule="auto"/>
      </w:pPr>
      <w:r>
        <w:continuationSeparator/>
      </w:r>
    </w:p>
  </w:footnote>
  <w:footnote w:type="continuationNotice" w:id="1">
    <w:p w14:paraId="47B7C588" w14:textId="77777777" w:rsidR="007A66E2" w:rsidRDefault="007A66E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90896"/>
    <w:multiLevelType w:val="hybridMultilevel"/>
    <w:tmpl w:val="3AB211E2"/>
    <w:lvl w:ilvl="0" w:tplc="9104B2C4">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C576AD"/>
    <w:multiLevelType w:val="hybridMultilevel"/>
    <w:tmpl w:val="7D70B9D6"/>
    <w:lvl w:ilvl="0" w:tplc="9104B2C4">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4A042CD"/>
    <w:multiLevelType w:val="hybridMultilevel"/>
    <w:tmpl w:val="DFA0BC9A"/>
    <w:lvl w:ilvl="0" w:tplc="119ABE8C">
      <w:start w:val="1"/>
      <w:numFmt w:val="decimal"/>
      <w:lvlText w:val="%1."/>
      <w:lvlJc w:val="left"/>
      <w:pPr>
        <w:tabs>
          <w:tab w:val="num" w:pos="720"/>
        </w:tabs>
        <w:ind w:left="720" w:hanging="360"/>
      </w:pPr>
    </w:lvl>
    <w:lvl w:ilvl="1" w:tplc="7B1EA8B2" w:tentative="1">
      <w:start w:val="1"/>
      <w:numFmt w:val="decimal"/>
      <w:lvlText w:val="%2."/>
      <w:lvlJc w:val="left"/>
      <w:pPr>
        <w:tabs>
          <w:tab w:val="num" w:pos="1440"/>
        </w:tabs>
        <w:ind w:left="1440" w:hanging="360"/>
      </w:pPr>
    </w:lvl>
    <w:lvl w:ilvl="2" w:tplc="231AFC40" w:tentative="1">
      <w:start w:val="1"/>
      <w:numFmt w:val="decimal"/>
      <w:lvlText w:val="%3."/>
      <w:lvlJc w:val="left"/>
      <w:pPr>
        <w:tabs>
          <w:tab w:val="num" w:pos="2160"/>
        </w:tabs>
        <w:ind w:left="2160" w:hanging="360"/>
      </w:pPr>
    </w:lvl>
    <w:lvl w:ilvl="3" w:tplc="CE24D0E2" w:tentative="1">
      <w:start w:val="1"/>
      <w:numFmt w:val="decimal"/>
      <w:lvlText w:val="%4."/>
      <w:lvlJc w:val="left"/>
      <w:pPr>
        <w:tabs>
          <w:tab w:val="num" w:pos="2880"/>
        </w:tabs>
        <w:ind w:left="2880" w:hanging="360"/>
      </w:pPr>
    </w:lvl>
    <w:lvl w:ilvl="4" w:tplc="086A0D56" w:tentative="1">
      <w:start w:val="1"/>
      <w:numFmt w:val="decimal"/>
      <w:lvlText w:val="%5."/>
      <w:lvlJc w:val="left"/>
      <w:pPr>
        <w:tabs>
          <w:tab w:val="num" w:pos="3600"/>
        </w:tabs>
        <w:ind w:left="3600" w:hanging="360"/>
      </w:pPr>
    </w:lvl>
    <w:lvl w:ilvl="5" w:tplc="144AB608" w:tentative="1">
      <w:start w:val="1"/>
      <w:numFmt w:val="decimal"/>
      <w:lvlText w:val="%6."/>
      <w:lvlJc w:val="left"/>
      <w:pPr>
        <w:tabs>
          <w:tab w:val="num" w:pos="4320"/>
        </w:tabs>
        <w:ind w:left="4320" w:hanging="360"/>
      </w:pPr>
    </w:lvl>
    <w:lvl w:ilvl="6" w:tplc="E90ACCDC" w:tentative="1">
      <w:start w:val="1"/>
      <w:numFmt w:val="decimal"/>
      <w:lvlText w:val="%7."/>
      <w:lvlJc w:val="left"/>
      <w:pPr>
        <w:tabs>
          <w:tab w:val="num" w:pos="5040"/>
        </w:tabs>
        <w:ind w:left="5040" w:hanging="360"/>
      </w:pPr>
    </w:lvl>
    <w:lvl w:ilvl="7" w:tplc="C72A15E2" w:tentative="1">
      <w:start w:val="1"/>
      <w:numFmt w:val="decimal"/>
      <w:lvlText w:val="%8."/>
      <w:lvlJc w:val="left"/>
      <w:pPr>
        <w:tabs>
          <w:tab w:val="num" w:pos="5760"/>
        </w:tabs>
        <w:ind w:left="5760" w:hanging="360"/>
      </w:pPr>
    </w:lvl>
    <w:lvl w:ilvl="8" w:tplc="FF4C9B00" w:tentative="1">
      <w:start w:val="1"/>
      <w:numFmt w:val="decimal"/>
      <w:lvlText w:val="%9."/>
      <w:lvlJc w:val="left"/>
      <w:pPr>
        <w:tabs>
          <w:tab w:val="num" w:pos="6480"/>
        </w:tabs>
        <w:ind w:left="6480" w:hanging="360"/>
      </w:pPr>
    </w:lvl>
  </w:abstractNum>
  <w:abstractNum w:abstractNumId="3" w15:restartNumberingAfterBreak="0">
    <w:nsid w:val="36FC2F8F"/>
    <w:multiLevelType w:val="hybridMultilevel"/>
    <w:tmpl w:val="97727D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F0755CF"/>
    <w:multiLevelType w:val="hybridMultilevel"/>
    <w:tmpl w:val="67BAE270"/>
    <w:lvl w:ilvl="0" w:tplc="9104B2C4">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3237540"/>
    <w:multiLevelType w:val="hybridMultilevel"/>
    <w:tmpl w:val="F29870D2"/>
    <w:lvl w:ilvl="0" w:tplc="9104B2C4">
      <w:start w:val="1"/>
      <w:numFmt w:val="bullet"/>
      <w:lvlText w:val="•"/>
      <w:lvlJc w:val="left"/>
      <w:pPr>
        <w:tabs>
          <w:tab w:val="num" w:pos="720"/>
        </w:tabs>
        <w:ind w:left="720" w:hanging="360"/>
      </w:pPr>
      <w:rPr>
        <w:rFonts w:ascii="Arial" w:hAnsi="Arial" w:hint="default"/>
      </w:rPr>
    </w:lvl>
    <w:lvl w:ilvl="1" w:tplc="9AE0F2BA" w:tentative="1">
      <w:start w:val="1"/>
      <w:numFmt w:val="bullet"/>
      <w:lvlText w:val="•"/>
      <w:lvlJc w:val="left"/>
      <w:pPr>
        <w:tabs>
          <w:tab w:val="num" w:pos="1440"/>
        </w:tabs>
        <w:ind w:left="1440" w:hanging="360"/>
      </w:pPr>
      <w:rPr>
        <w:rFonts w:ascii="Arial" w:hAnsi="Arial" w:hint="default"/>
      </w:rPr>
    </w:lvl>
    <w:lvl w:ilvl="2" w:tplc="94061E2E" w:tentative="1">
      <w:start w:val="1"/>
      <w:numFmt w:val="bullet"/>
      <w:lvlText w:val="•"/>
      <w:lvlJc w:val="left"/>
      <w:pPr>
        <w:tabs>
          <w:tab w:val="num" w:pos="2160"/>
        </w:tabs>
        <w:ind w:left="2160" w:hanging="360"/>
      </w:pPr>
      <w:rPr>
        <w:rFonts w:ascii="Arial" w:hAnsi="Arial" w:hint="default"/>
      </w:rPr>
    </w:lvl>
    <w:lvl w:ilvl="3" w:tplc="5106D5CE" w:tentative="1">
      <w:start w:val="1"/>
      <w:numFmt w:val="bullet"/>
      <w:lvlText w:val="•"/>
      <w:lvlJc w:val="left"/>
      <w:pPr>
        <w:tabs>
          <w:tab w:val="num" w:pos="2880"/>
        </w:tabs>
        <w:ind w:left="2880" w:hanging="360"/>
      </w:pPr>
      <w:rPr>
        <w:rFonts w:ascii="Arial" w:hAnsi="Arial" w:hint="default"/>
      </w:rPr>
    </w:lvl>
    <w:lvl w:ilvl="4" w:tplc="C08AE268" w:tentative="1">
      <w:start w:val="1"/>
      <w:numFmt w:val="bullet"/>
      <w:lvlText w:val="•"/>
      <w:lvlJc w:val="left"/>
      <w:pPr>
        <w:tabs>
          <w:tab w:val="num" w:pos="3600"/>
        </w:tabs>
        <w:ind w:left="3600" w:hanging="360"/>
      </w:pPr>
      <w:rPr>
        <w:rFonts w:ascii="Arial" w:hAnsi="Arial" w:hint="default"/>
      </w:rPr>
    </w:lvl>
    <w:lvl w:ilvl="5" w:tplc="4A6C6484" w:tentative="1">
      <w:start w:val="1"/>
      <w:numFmt w:val="bullet"/>
      <w:lvlText w:val="•"/>
      <w:lvlJc w:val="left"/>
      <w:pPr>
        <w:tabs>
          <w:tab w:val="num" w:pos="4320"/>
        </w:tabs>
        <w:ind w:left="4320" w:hanging="360"/>
      </w:pPr>
      <w:rPr>
        <w:rFonts w:ascii="Arial" w:hAnsi="Arial" w:hint="default"/>
      </w:rPr>
    </w:lvl>
    <w:lvl w:ilvl="6" w:tplc="B1D0F11C" w:tentative="1">
      <w:start w:val="1"/>
      <w:numFmt w:val="bullet"/>
      <w:lvlText w:val="•"/>
      <w:lvlJc w:val="left"/>
      <w:pPr>
        <w:tabs>
          <w:tab w:val="num" w:pos="5040"/>
        </w:tabs>
        <w:ind w:left="5040" w:hanging="360"/>
      </w:pPr>
      <w:rPr>
        <w:rFonts w:ascii="Arial" w:hAnsi="Arial" w:hint="default"/>
      </w:rPr>
    </w:lvl>
    <w:lvl w:ilvl="7" w:tplc="52C0F93C" w:tentative="1">
      <w:start w:val="1"/>
      <w:numFmt w:val="bullet"/>
      <w:lvlText w:val="•"/>
      <w:lvlJc w:val="left"/>
      <w:pPr>
        <w:tabs>
          <w:tab w:val="num" w:pos="5760"/>
        </w:tabs>
        <w:ind w:left="5760" w:hanging="360"/>
      </w:pPr>
      <w:rPr>
        <w:rFonts w:ascii="Arial" w:hAnsi="Arial" w:hint="default"/>
      </w:rPr>
    </w:lvl>
    <w:lvl w:ilvl="8" w:tplc="0C78DA8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4E45A97"/>
    <w:multiLevelType w:val="hybridMultilevel"/>
    <w:tmpl w:val="2734585E"/>
    <w:lvl w:ilvl="0" w:tplc="9104B2C4">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5B908EF"/>
    <w:multiLevelType w:val="hybridMultilevel"/>
    <w:tmpl w:val="E4DC6F0A"/>
    <w:lvl w:ilvl="0" w:tplc="9104B2C4">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0"/>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ocumentProtection w:edit="readOnly" w:formatting="1" w:enforcement="1" w:cryptProviderType="rsaAES" w:cryptAlgorithmClass="hash" w:cryptAlgorithmType="typeAny" w:cryptAlgorithmSid="14" w:cryptSpinCount="100000" w:hash="ee0fp9u3TTPfBxSTNd/zzhxnB8pBUTFvSwcsasXUX/snfj7qjRiLbRpuKBBCDj4/qdp0CAR1hXjow7jYocWKTw==" w:salt="Bejv1e/0qiICdgY0agGXDg=="/>
  <w:styleLockTheme/>
  <w:styleLockQFSet/>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B742206"/>
    <w:rsid w:val="0000641A"/>
    <w:rsid w:val="00021A14"/>
    <w:rsid w:val="00026E5D"/>
    <w:rsid w:val="00086E87"/>
    <w:rsid w:val="000B3599"/>
    <w:rsid w:val="000C0ABA"/>
    <w:rsid w:val="000E0281"/>
    <w:rsid w:val="000F08CF"/>
    <w:rsid w:val="000F1B49"/>
    <w:rsid w:val="000F1F27"/>
    <w:rsid w:val="00100070"/>
    <w:rsid w:val="00101B59"/>
    <w:rsid w:val="0013483D"/>
    <w:rsid w:val="0014573C"/>
    <w:rsid w:val="001458B0"/>
    <w:rsid w:val="00156437"/>
    <w:rsid w:val="001743EC"/>
    <w:rsid w:val="00181A0D"/>
    <w:rsid w:val="001A4844"/>
    <w:rsid w:val="001B46CB"/>
    <w:rsid w:val="001B5154"/>
    <w:rsid w:val="001D3478"/>
    <w:rsid w:val="001D5E82"/>
    <w:rsid w:val="001F17D9"/>
    <w:rsid w:val="001F4ADD"/>
    <w:rsid w:val="00200B89"/>
    <w:rsid w:val="00216D1E"/>
    <w:rsid w:val="00221A90"/>
    <w:rsid w:val="00231F4D"/>
    <w:rsid w:val="00264F80"/>
    <w:rsid w:val="00281FC2"/>
    <w:rsid w:val="00283127"/>
    <w:rsid w:val="002864DA"/>
    <w:rsid w:val="002939DF"/>
    <w:rsid w:val="00297301"/>
    <w:rsid w:val="002A2E3A"/>
    <w:rsid w:val="002A3B74"/>
    <w:rsid w:val="002B449D"/>
    <w:rsid w:val="002E4902"/>
    <w:rsid w:val="002F470E"/>
    <w:rsid w:val="002F4EFF"/>
    <w:rsid w:val="00307954"/>
    <w:rsid w:val="0034330C"/>
    <w:rsid w:val="00344973"/>
    <w:rsid w:val="003533C6"/>
    <w:rsid w:val="0035587B"/>
    <w:rsid w:val="00356CDF"/>
    <w:rsid w:val="0036130B"/>
    <w:rsid w:val="003754B5"/>
    <w:rsid w:val="003B21F1"/>
    <w:rsid w:val="003C157D"/>
    <w:rsid w:val="003F399B"/>
    <w:rsid w:val="00415229"/>
    <w:rsid w:val="0041586D"/>
    <w:rsid w:val="00451187"/>
    <w:rsid w:val="00456DAF"/>
    <w:rsid w:val="00463B37"/>
    <w:rsid w:val="00466812"/>
    <w:rsid w:val="00467B00"/>
    <w:rsid w:val="0047079F"/>
    <w:rsid w:val="004A3B09"/>
    <w:rsid w:val="004A48FA"/>
    <w:rsid w:val="004B0C2C"/>
    <w:rsid w:val="004B227A"/>
    <w:rsid w:val="004C236A"/>
    <w:rsid w:val="004D4FE5"/>
    <w:rsid w:val="004F3474"/>
    <w:rsid w:val="005101D0"/>
    <w:rsid w:val="00532562"/>
    <w:rsid w:val="0055033A"/>
    <w:rsid w:val="00564934"/>
    <w:rsid w:val="0059187A"/>
    <w:rsid w:val="005A012C"/>
    <w:rsid w:val="005D2C9C"/>
    <w:rsid w:val="005D4C21"/>
    <w:rsid w:val="005F739C"/>
    <w:rsid w:val="0061371F"/>
    <w:rsid w:val="00616D34"/>
    <w:rsid w:val="00641611"/>
    <w:rsid w:val="00641C8A"/>
    <w:rsid w:val="00662602"/>
    <w:rsid w:val="00667E2E"/>
    <w:rsid w:val="00670EBB"/>
    <w:rsid w:val="00682A12"/>
    <w:rsid w:val="006912D9"/>
    <w:rsid w:val="00693223"/>
    <w:rsid w:val="00697169"/>
    <w:rsid w:val="006C3640"/>
    <w:rsid w:val="006D4372"/>
    <w:rsid w:val="006E7FCB"/>
    <w:rsid w:val="006F1C24"/>
    <w:rsid w:val="00720B8C"/>
    <w:rsid w:val="007217D8"/>
    <w:rsid w:val="00725DDD"/>
    <w:rsid w:val="00736AC0"/>
    <w:rsid w:val="0074224F"/>
    <w:rsid w:val="00743AF2"/>
    <w:rsid w:val="007502F2"/>
    <w:rsid w:val="007512C5"/>
    <w:rsid w:val="007658B3"/>
    <w:rsid w:val="00766EDE"/>
    <w:rsid w:val="0078757E"/>
    <w:rsid w:val="00797AFE"/>
    <w:rsid w:val="007A66E2"/>
    <w:rsid w:val="007B0EDD"/>
    <w:rsid w:val="007C7A96"/>
    <w:rsid w:val="007D717C"/>
    <w:rsid w:val="007E3413"/>
    <w:rsid w:val="007F0FF5"/>
    <w:rsid w:val="007F3467"/>
    <w:rsid w:val="007F42CC"/>
    <w:rsid w:val="007F433B"/>
    <w:rsid w:val="007F4AF9"/>
    <w:rsid w:val="00805CA1"/>
    <w:rsid w:val="008132F6"/>
    <w:rsid w:val="00816853"/>
    <w:rsid w:val="00816FAF"/>
    <w:rsid w:val="0084761D"/>
    <w:rsid w:val="00876292"/>
    <w:rsid w:val="008923EF"/>
    <w:rsid w:val="00893FAB"/>
    <w:rsid w:val="00895D7D"/>
    <w:rsid w:val="008A2380"/>
    <w:rsid w:val="008B30C6"/>
    <w:rsid w:val="008F0327"/>
    <w:rsid w:val="008F0D2B"/>
    <w:rsid w:val="0092656C"/>
    <w:rsid w:val="0094072F"/>
    <w:rsid w:val="009558CD"/>
    <w:rsid w:val="00976363"/>
    <w:rsid w:val="009A57BE"/>
    <w:rsid w:val="009B3BA4"/>
    <w:rsid w:val="009F0B96"/>
    <w:rsid w:val="00A02A7B"/>
    <w:rsid w:val="00A27BF4"/>
    <w:rsid w:val="00A34100"/>
    <w:rsid w:val="00A5327C"/>
    <w:rsid w:val="00A54748"/>
    <w:rsid w:val="00A61BCA"/>
    <w:rsid w:val="00A74255"/>
    <w:rsid w:val="00A91A8F"/>
    <w:rsid w:val="00A96A5A"/>
    <w:rsid w:val="00AB16C0"/>
    <w:rsid w:val="00AB242A"/>
    <w:rsid w:val="00AC2D5D"/>
    <w:rsid w:val="00AC4FDD"/>
    <w:rsid w:val="00AD3D7D"/>
    <w:rsid w:val="00AE5F8B"/>
    <w:rsid w:val="00AF10AE"/>
    <w:rsid w:val="00B02EA7"/>
    <w:rsid w:val="00B04062"/>
    <w:rsid w:val="00B14D6A"/>
    <w:rsid w:val="00B20654"/>
    <w:rsid w:val="00B32400"/>
    <w:rsid w:val="00B751EE"/>
    <w:rsid w:val="00B81567"/>
    <w:rsid w:val="00BB30DE"/>
    <w:rsid w:val="00C13990"/>
    <w:rsid w:val="00C14294"/>
    <w:rsid w:val="00C17ED0"/>
    <w:rsid w:val="00C23083"/>
    <w:rsid w:val="00C24DF0"/>
    <w:rsid w:val="00C2525A"/>
    <w:rsid w:val="00C27062"/>
    <w:rsid w:val="00C32B92"/>
    <w:rsid w:val="00C568BA"/>
    <w:rsid w:val="00C81746"/>
    <w:rsid w:val="00C93F4C"/>
    <w:rsid w:val="00CB0CBD"/>
    <w:rsid w:val="00CD0E87"/>
    <w:rsid w:val="00CD2070"/>
    <w:rsid w:val="00CD34AA"/>
    <w:rsid w:val="00D3431E"/>
    <w:rsid w:val="00D70F1F"/>
    <w:rsid w:val="00D72799"/>
    <w:rsid w:val="00D760F2"/>
    <w:rsid w:val="00D91BE5"/>
    <w:rsid w:val="00D964DC"/>
    <w:rsid w:val="00DA2522"/>
    <w:rsid w:val="00DB604C"/>
    <w:rsid w:val="00DC3156"/>
    <w:rsid w:val="00DE4FED"/>
    <w:rsid w:val="00DF4095"/>
    <w:rsid w:val="00E03C68"/>
    <w:rsid w:val="00E162FE"/>
    <w:rsid w:val="00E25BBE"/>
    <w:rsid w:val="00E428DD"/>
    <w:rsid w:val="00E53767"/>
    <w:rsid w:val="00E578DF"/>
    <w:rsid w:val="00E73EBE"/>
    <w:rsid w:val="00E84961"/>
    <w:rsid w:val="00E97AD2"/>
    <w:rsid w:val="00EA4279"/>
    <w:rsid w:val="00EA5DBE"/>
    <w:rsid w:val="00EB5A8A"/>
    <w:rsid w:val="00EB69E3"/>
    <w:rsid w:val="00ED0E46"/>
    <w:rsid w:val="00ED6D90"/>
    <w:rsid w:val="00F02506"/>
    <w:rsid w:val="00F158F4"/>
    <w:rsid w:val="00F174BC"/>
    <w:rsid w:val="00F2583C"/>
    <w:rsid w:val="00F30894"/>
    <w:rsid w:val="00F365AF"/>
    <w:rsid w:val="00F45027"/>
    <w:rsid w:val="00F60A2E"/>
    <w:rsid w:val="00F82C0C"/>
    <w:rsid w:val="00F9320C"/>
    <w:rsid w:val="00F9626D"/>
    <w:rsid w:val="00F97034"/>
    <w:rsid w:val="00FB486A"/>
    <w:rsid w:val="00FB5517"/>
    <w:rsid w:val="00FC7CDF"/>
    <w:rsid w:val="00FD4748"/>
    <w:rsid w:val="00FE63C6"/>
    <w:rsid w:val="0246BFC5"/>
    <w:rsid w:val="02557209"/>
    <w:rsid w:val="04A40315"/>
    <w:rsid w:val="04E92C95"/>
    <w:rsid w:val="04F8C469"/>
    <w:rsid w:val="052B0E45"/>
    <w:rsid w:val="0D229FB9"/>
    <w:rsid w:val="0F793CBB"/>
    <w:rsid w:val="11D18A1C"/>
    <w:rsid w:val="12798A27"/>
    <w:rsid w:val="12A08F1D"/>
    <w:rsid w:val="18612ED0"/>
    <w:rsid w:val="18B30CD6"/>
    <w:rsid w:val="1A916077"/>
    <w:rsid w:val="1B742206"/>
    <w:rsid w:val="1DCC73A8"/>
    <w:rsid w:val="1F20E33F"/>
    <w:rsid w:val="207A74C4"/>
    <w:rsid w:val="20C017B1"/>
    <w:rsid w:val="22FB6A6A"/>
    <w:rsid w:val="24FF027A"/>
    <w:rsid w:val="250172DB"/>
    <w:rsid w:val="263228EA"/>
    <w:rsid w:val="2736EEEA"/>
    <w:rsid w:val="27ADC969"/>
    <w:rsid w:val="291C505E"/>
    <w:rsid w:val="2AD701B1"/>
    <w:rsid w:val="2C721CEB"/>
    <w:rsid w:val="2EA4A4D8"/>
    <w:rsid w:val="30C5EB3B"/>
    <w:rsid w:val="3361AF6D"/>
    <w:rsid w:val="33984E5D"/>
    <w:rsid w:val="368F8B47"/>
    <w:rsid w:val="39E54EAF"/>
    <w:rsid w:val="3B37B3E1"/>
    <w:rsid w:val="3C4438AD"/>
    <w:rsid w:val="3E835B6C"/>
    <w:rsid w:val="44E01879"/>
    <w:rsid w:val="4652842A"/>
    <w:rsid w:val="46E0535B"/>
    <w:rsid w:val="48570156"/>
    <w:rsid w:val="498BB3F8"/>
    <w:rsid w:val="4AC82893"/>
    <w:rsid w:val="4BC77ACF"/>
    <w:rsid w:val="4C1806A4"/>
    <w:rsid w:val="4D6097E4"/>
    <w:rsid w:val="4E937806"/>
    <w:rsid w:val="51D4D2D5"/>
    <w:rsid w:val="51F9F7A4"/>
    <w:rsid w:val="53403B52"/>
    <w:rsid w:val="571B9DEB"/>
    <w:rsid w:val="5B4180F2"/>
    <w:rsid w:val="5DAE5813"/>
    <w:rsid w:val="607724F3"/>
    <w:rsid w:val="67F9988E"/>
    <w:rsid w:val="69219998"/>
    <w:rsid w:val="6B3E5F3F"/>
    <w:rsid w:val="6B49347C"/>
    <w:rsid w:val="6B59E772"/>
    <w:rsid w:val="6CD0BF54"/>
    <w:rsid w:val="6DD9C393"/>
    <w:rsid w:val="6FBF690C"/>
    <w:rsid w:val="706CF30B"/>
    <w:rsid w:val="740BBB25"/>
    <w:rsid w:val="7546BBCE"/>
    <w:rsid w:val="754FB7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42206"/>
  <w15:chartTrackingRefBased/>
  <w15:docId w15:val="{2E32E716-26A7-46EA-A98F-11E10CC5C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locked/>
    <w:rsid w:val="007F433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locked/>
    <w:rsid w:val="007D717C"/>
    <w:pPr>
      <w:ind w:left="720"/>
      <w:contextualSpacing/>
    </w:pPr>
  </w:style>
  <w:style w:type="character" w:styleId="CommentReference">
    <w:name w:val="annotation reference"/>
    <w:basedOn w:val="DefaultParagraphFont"/>
    <w:uiPriority w:val="99"/>
    <w:semiHidden/>
    <w:unhideWhenUsed/>
    <w:locked/>
    <w:rsid w:val="003533C6"/>
    <w:rPr>
      <w:sz w:val="16"/>
      <w:szCs w:val="16"/>
    </w:rPr>
  </w:style>
  <w:style w:type="paragraph" w:styleId="CommentText">
    <w:name w:val="annotation text"/>
    <w:basedOn w:val="Normal"/>
    <w:link w:val="CommentTextChar"/>
    <w:uiPriority w:val="99"/>
    <w:semiHidden/>
    <w:unhideWhenUsed/>
    <w:locked/>
    <w:rsid w:val="003533C6"/>
    <w:pPr>
      <w:spacing w:line="240" w:lineRule="auto"/>
    </w:pPr>
    <w:rPr>
      <w:sz w:val="20"/>
      <w:szCs w:val="20"/>
    </w:rPr>
  </w:style>
  <w:style w:type="character" w:customStyle="1" w:styleId="CommentTextChar">
    <w:name w:val="Comment Text Char"/>
    <w:basedOn w:val="DefaultParagraphFont"/>
    <w:link w:val="CommentText"/>
    <w:uiPriority w:val="99"/>
    <w:semiHidden/>
    <w:rsid w:val="003533C6"/>
    <w:rPr>
      <w:sz w:val="20"/>
      <w:szCs w:val="20"/>
    </w:rPr>
  </w:style>
  <w:style w:type="paragraph" w:styleId="CommentSubject">
    <w:name w:val="annotation subject"/>
    <w:basedOn w:val="CommentText"/>
    <w:next w:val="CommentText"/>
    <w:link w:val="CommentSubjectChar"/>
    <w:uiPriority w:val="99"/>
    <w:semiHidden/>
    <w:unhideWhenUsed/>
    <w:locked/>
    <w:rsid w:val="003533C6"/>
    <w:rPr>
      <w:b/>
      <w:bCs/>
    </w:rPr>
  </w:style>
  <w:style w:type="character" w:customStyle="1" w:styleId="CommentSubjectChar">
    <w:name w:val="Comment Subject Char"/>
    <w:basedOn w:val="CommentTextChar"/>
    <w:link w:val="CommentSubject"/>
    <w:uiPriority w:val="99"/>
    <w:semiHidden/>
    <w:rsid w:val="003533C6"/>
    <w:rPr>
      <w:b/>
      <w:bCs/>
      <w:sz w:val="20"/>
      <w:szCs w:val="20"/>
    </w:rPr>
  </w:style>
  <w:style w:type="paragraph" w:styleId="BalloonText">
    <w:name w:val="Balloon Text"/>
    <w:basedOn w:val="Normal"/>
    <w:link w:val="BalloonTextChar"/>
    <w:uiPriority w:val="99"/>
    <w:semiHidden/>
    <w:unhideWhenUsed/>
    <w:locked/>
    <w:rsid w:val="003533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3C6"/>
    <w:rPr>
      <w:rFonts w:ascii="Segoe UI" w:hAnsi="Segoe UI" w:cs="Segoe UI"/>
      <w:sz w:val="18"/>
      <w:szCs w:val="18"/>
    </w:rPr>
  </w:style>
  <w:style w:type="table" w:styleId="TableGrid">
    <w:name w:val="Table Grid"/>
    <w:basedOn w:val="TableNormal"/>
    <w:uiPriority w:val="39"/>
    <w:locked/>
    <w:rsid w:val="00DE4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locked/>
    <w:rsid w:val="006137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371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F433B"/>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locked/>
    <w:rsid w:val="001F4A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4ADD"/>
  </w:style>
  <w:style w:type="paragraph" w:styleId="Footer">
    <w:name w:val="footer"/>
    <w:basedOn w:val="Normal"/>
    <w:link w:val="FooterChar"/>
    <w:uiPriority w:val="99"/>
    <w:unhideWhenUsed/>
    <w:locked/>
    <w:rsid w:val="001F4A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4ADD"/>
  </w:style>
  <w:style w:type="paragraph" w:styleId="NormalWeb">
    <w:name w:val="Normal (Web)"/>
    <w:basedOn w:val="Normal"/>
    <w:uiPriority w:val="99"/>
    <w:semiHidden/>
    <w:unhideWhenUsed/>
    <w:locked/>
    <w:rsid w:val="00467B00"/>
    <w:pPr>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64129">
      <w:bodyDiv w:val="1"/>
      <w:marLeft w:val="0"/>
      <w:marRight w:val="0"/>
      <w:marTop w:val="0"/>
      <w:marBottom w:val="0"/>
      <w:divBdr>
        <w:top w:val="none" w:sz="0" w:space="0" w:color="auto"/>
        <w:left w:val="none" w:sz="0" w:space="0" w:color="auto"/>
        <w:bottom w:val="none" w:sz="0" w:space="0" w:color="auto"/>
        <w:right w:val="none" w:sz="0" w:space="0" w:color="auto"/>
      </w:divBdr>
    </w:div>
    <w:div w:id="363404055">
      <w:bodyDiv w:val="1"/>
      <w:marLeft w:val="0"/>
      <w:marRight w:val="0"/>
      <w:marTop w:val="0"/>
      <w:marBottom w:val="0"/>
      <w:divBdr>
        <w:top w:val="none" w:sz="0" w:space="0" w:color="auto"/>
        <w:left w:val="none" w:sz="0" w:space="0" w:color="auto"/>
        <w:bottom w:val="none" w:sz="0" w:space="0" w:color="auto"/>
        <w:right w:val="none" w:sz="0" w:space="0" w:color="auto"/>
      </w:divBdr>
      <w:divsChild>
        <w:div w:id="222253245">
          <w:marLeft w:val="360"/>
          <w:marRight w:val="0"/>
          <w:marTop w:val="0"/>
          <w:marBottom w:val="120"/>
          <w:divBdr>
            <w:top w:val="none" w:sz="0" w:space="0" w:color="auto"/>
            <w:left w:val="none" w:sz="0" w:space="0" w:color="auto"/>
            <w:bottom w:val="none" w:sz="0" w:space="0" w:color="auto"/>
            <w:right w:val="none" w:sz="0" w:space="0" w:color="auto"/>
          </w:divBdr>
        </w:div>
        <w:div w:id="741483516">
          <w:marLeft w:val="360"/>
          <w:marRight w:val="0"/>
          <w:marTop w:val="0"/>
          <w:marBottom w:val="0"/>
          <w:divBdr>
            <w:top w:val="none" w:sz="0" w:space="0" w:color="auto"/>
            <w:left w:val="none" w:sz="0" w:space="0" w:color="auto"/>
            <w:bottom w:val="none" w:sz="0" w:space="0" w:color="auto"/>
            <w:right w:val="none" w:sz="0" w:space="0" w:color="auto"/>
          </w:divBdr>
        </w:div>
        <w:div w:id="1447501443">
          <w:marLeft w:val="360"/>
          <w:marRight w:val="0"/>
          <w:marTop w:val="0"/>
          <w:marBottom w:val="0"/>
          <w:divBdr>
            <w:top w:val="none" w:sz="0" w:space="0" w:color="auto"/>
            <w:left w:val="none" w:sz="0" w:space="0" w:color="auto"/>
            <w:bottom w:val="none" w:sz="0" w:space="0" w:color="auto"/>
            <w:right w:val="none" w:sz="0" w:space="0" w:color="auto"/>
          </w:divBdr>
        </w:div>
        <w:div w:id="2074114213">
          <w:marLeft w:val="360"/>
          <w:marRight w:val="0"/>
          <w:marTop w:val="0"/>
          <w:marBottom w:val="0"/>
          <w:divBdr>
            <w:top w:val="none" w:sz="0" w:space="0" w:color="auto"/>
            <w:left w:val="none" w:sz="0" w:space="0" w:color="auto"/>
            <w:bottom w:val="none" w:sz="0" w:space="0" w:color="auto"/>
            <w:right w:val="none" w:sz="0" w:space="0" w:color="auto"/>
          </w:divBdr>
        </w:div>
      </w:divsChild>
    </w:div>
    <w:div w:id="364212217">
      <w:bodyDiv w:val="1"/>
      <w:marLeft w:val="0"/>
      <w:marRight w:val="0"/>
      <w:marTop w:val="0"/>
      <w:marBottom w:val="0"/>
      <w:divBdr>
        <w:top w:val="none" w:sz="0" w:space="0" w:color="auto"/>
        <w:left w:val="none" w:sz="0" w:space="0" w:color="auto"/>
        <w:bottom w:val="none" w:sz="0" w:space="0" w:color="auto"/>
        <w:right w:val="none" w:sz="0" w:space="0" w:color="auto"/>
      </w:divBdr>
    </w:div>
    <w:div w:id="408576640">
      <w:bodyDiv w:val="1"/>
      <w:marLeft w:val="0"/>
      <w:marRight w:val="0"/>
      <w:marTop w:val="0"/>
      <w:marBottom w:val="0"/>
      <w:divBdr>
        <w:top w:val="none" w:sz="0" w:space="0" w:color="auto"/>
        <w:left w:val="none" w:sz="0" w:space="0" w:color="auto"/>
        <w:bottom w:val="none" w:sz="0" w:space="0" w:color="auto"/>
        <w:right w:val="none" w:sz="0" w:space="0" w:color="auto"/>
      </w:divBdr>
    </w:div>
    <w:div w:id="430199749">
      <w:bodyDiv w:val="1"/>
      <w:marLeft w:val="0"/>
      <w:marRight w:val="0"/>
      <w:marTop w:val="0"/>
      <w:marBottom w:val="0"/>
      <w:divBdr>
        <w:top w:val="none" w:sz="0" w:space="0" w:color="auto"/>
        <w:left w:val="none" w:sz="0" w:space="0" w:color="auto"/>
        <w:bottom w:val="none" w:sz="0" w:space="0" w:color="auto"/>
        <w:right w:val="none" w:sz="0" w:space="0" w:color="auto"/>
      </w:divBdr>
    </w:div>
    <w:div w:id="537663578">
      <w:bodyDiv w:val="1"/>
      <w:marLeft w:val="0"/>
      <w:marRight w:val="0"/>
      <w:marTop w:val="0"/>
      <w:marBottom w:val="0"/>
      <w:divBdr>
        <w:top w:val="none" w:sz="0" w:space="0" w:color="auto"/>
        <w:left w:val="none" w:sz="0" w:space="0" w:color="auto"/>
        <w:bottom w:val="none" w:sz="0" w:space="0" w:color="auto"/>
        <w:right w:val="none" w:sz="0" w:space="0" w:color="auto"/>
      </w:divBdr>
    </w:div>
    <w:div w:id="560677584">
      <w:bodyDiv w:val="1"/>
      <w:marLeft w:val="0"/>
      <w:marRight w:val="0"/>
      <w:marTop w:val="0"/>
      <w:marBottom w:val="0"/>
      <w:divBdr>
        <w:top w:val="none" w:sz="0" w:space="0" w:color="auto"/>
        <w:left w:val="none" w:sz="0" w:space="0" w:color="auto"/>
        <w:bottom w:val="none" w:sz="0" w:space="0" w:color="auto"/>
        <w:right w:val="none" w:sz="0" w:space="0" w:color="auto"/>
      </w:divBdr>
    </w:div>
    <w:div w:id="739400303">
      <w:bodyDiv w:val="1"/>
      <w:marLeft w:val="0"/>
      <w:marRight w:val="0"/>
      <w:marTop w:val="0"/>
      <w:marBottom w:val="0"/>
      <w:divBdr>
        <w:top w:val="none" w:sz="0" w:space="0" w:color="auto"/>
        <w:left w:val="none" w:sz="0" w:space="0" w:color="auto"/>
        <w:bottom w:val="none" w:sz="0" w:space="0" w:color="auto"/>
        <w:right w:val="none" w:sz="0" w:space="0" w:color="auto"/>
      </w:divBdr>
    </w:div>
    <w:div w:id="801996742">
      <w:bodyDiv w:val="1"/>
      <w:marLeft w:val="0"/>
      <w:marRight w:val="0"/>
      <w:marTop w:val="0"/>
      <w:marBottom w:val="0"/>
      <w:divBdr>
        <w:top w:val="none" w:sz="0" w:space="0" w:color="auto"/>
        <w:left w:val="none" w:sz="0" w:space="0" w:color="auto"/>
        <w:bottom w:val="none" w:sz="0" w:space="0" w:color="auto"/>
        <w:right w:val="none" w:sz="0" w:space="0" w:color="auto"/>
      </w:divBdr>
      <w:divsChild>
        <w:div w:id="63526202">
          <w:marLeft w:val="274"/>
          <w:marRight w:val="0"/>
          <w:marTop w:val="0"/>
          <w:marBottom w:val="120"/>
          <w:divBdr>
            <w:top w:val="none" w:sz="0" w:space="0" w:color="auto"/>
            <w:left w:val="none" w:sz="0" w:space="0" w:color="auto"/>
            <w:bottom w:val="none" w:sz="0" w:space="0" w:color="auto"/>
            <w:right w:val="none" w:sz="0" w:space="0" w:color="auto"/>
          </w:divBdr>
        </w:div>
        <w:div w:id="313725519">
          <w:marLeft w:val="274"/>
          <w:marRight w:val="0"/>
          <w:marTop w:val="0"/>
          <w:marBottom w:val="120"/>
          <w:divBdr>
            <w:top w:val="none" w:sz="0" w:space="0" w:color="auto"/>
            <w:left w:val="none" w:sz="0" w:space="0" w:color="auto"/>
            <w:bottom w:val="none" w:sz="0" w:space="0" w:color="auto"/>
            <w:right w:val="none" w:sz="0" w:space="0" w:color="auto"/>
          </w:divBdr>
        </w:div>
        <w:div w:id="1416321553">
          <w:marLeft w:val="274"/>
          <w:marRight w:val="0"/>
          <w:marTop w:val="0"/>
          <w:marBottom w:val="120"/>
          <w:divBdr>
            <w:top w:val="none" w:sz="0" w:space="0" w:color="auto"/>
            <w:left w:val="none" w:sz="0" w:space="0" w:color="auto"/>
            <w:bottom w:val="none" w:sz="0" w:space="0" w:color="auto"/>
            <w:right w:val="none" w:sz="0" w:space="0" w:color="auto"/>
          </w:divBdr>
        </w:div>
      </w:divsChild>
    </w:div>
    <w:div w:id="805854780">
      <w:bodyDiv w:val="1"/>
      <w:marLeft w:val="0"/>
      <w:marRight w:val="0"/>
      <w:marTop w:val="0"/>
      <w:marBottom w:val="0"/>
      <w:divBdr>
        <w:top w:val="none" w:sz="0" w:space="0" w:color="auto"/>
        <w:left w:val="none" w:sz="0" w:space="0" w:color="auto"/>
        <w:bottom w:val="none" w:sz="0" w:space="0" w:color="auto"/>
        <w:right w:val="none" w:sz="0" w:space="0" w:color="auto"/>
      </w:divBdr>
    </w:div>
    <w:div w:id="824859525">
      <w:bodyDiv w:val="1"/>
      <w:marLeft w:val="0"/>
      <w:marRight w:val="0"/>
      <w:marTop w:val="0"/>
      <w:marBottom w:val="0"/>
      <w:divBdr>
        <w:top w:val="none" w:sz="0" w:space="0" w:color="auto"/>
        <w:left w:val="none" w:sz="0" w:space="0" w:color="auto"/>
        <w:bottom w:val="none" w:sz="0" w:space="0" w:color="auto"/>
        <w:right w:val="none" w:sz="0" w:space="0" w:color="auto"/>
      </w:divBdr>
    </w:div>
    <w:div w:id="1034426929">
      <w:bodyDiv w:val="1"/>
      <w:marLeft w:val="0"/>
      <w:marRight w:val="0"/>
      <w:marTop w:val="0"/>
      <w:marBottom w:val="0"/>
      <w:divBdr>
        <w:top w:val="none" w:sz="0" w:space="0" w:color="auto"/>
        <w:left w:val="none" w:sz="0" w:space="0" w:color="auto"/>
        <w:bottom w:val="none" w:sz="0" w:space="0" w:color="auto"/>
        <w:right w:val="none" w:sz="0" w:space="0" w:color="auto"/>
      </w:divBdr>
    </w:div>
    <w:div w:id="1050493628">
      <w:bodyDiv w:val="1"/>
      <w:marLeft w:val="0"/>
      <w:marRight w:val="0"/>
      <w:marTop w:val="0"/>
      <w:marBottom w:val="0"/>
      <w:divBdr>
        <w:top w:val="none" w:sz="0" w:space="0" w:color="auto"/>
        <w:left w:val="none" w:sz="0" w:space="0" w:color="auto"/>
        <w:bottom w:val="none" w:sz="0" w:space="0" w:color="auto"/>
        <w:right w:val="none" w:sz="0" w:space="0" w:color="auto"/>
      </w:divBdr>
    </w:div>
    <w:div w:id="1111164237">
      <w:bodyDiv w:val="1"/>
      <w:marLeft w:val="0"/>
      <w:marRight w:val="0"/>
      <w:marTop w:val="0"/>
      <w:marBottom w:val="0"/>
      <w:divBdr>
        <w:top w:val="none" w:sz="0" w:space="0" w:color="auto"/>
        <w:left w:val="none" w:sz="0" w:space="0" w:color="auto"/>
        <w:bottom w:val="none" w:sz="0" w:space="0" w:color="auto"/>
        <w:right w:val="none" w:sz="0" w:space="0" w:color="auto"/>
      </w:divBdr>
    </w:div>
    <w:div w:id="1209419114">
      <w:bodyDiv w:val="1"/>
      <w:marLeft w:val="0"/>
      <w:marRight w:val="0"/>
      <w:marTop w:val="0"/>
      <w:marBottom w:val="0"/>
      <w:divBdr>
        <w:top w:val="none" w:sz="0" w:space="0" w:color="auto"/>
        <w:left w:val="none" w:sz="0" w:space="0" w:color="auto"/>
        <w:bottom w:val="none" w:sz="0" w:space="0" w:color="auto"/>
        <w:right w:val="none" w:sz="0" w:space="0" w:color="auto"/>
      </w:divBdr>
    </w:div>
    <w:div w:id="1271477363">
      <w:bodyDiv w:val="1"/>
      <w:marLeft w:val="0"/>
      <w:marRight w:val="0"/>
      <w:marTop w:val="0"/>
      <w:marBottom w:val="0"/>
      <w:divBdr>
        <w:top w:val="none" w:sz="0" w:space="0" w:color="auto"/>
        <w:left w:val="none" w:sz="0" w:space="0" w:color="auto"/>
        <w:bottom w:val="none" w:sz="0" w:space="0" w:color="auto"/>
        <w:right w:val="none" w:sz="0" w:space="0" w:color="auto"/>
      </w:divBdr>
    </w:div>
    <w:div w:id="1315916080">
      <w:bodyDiv w:val="1"/>
      <w:marLeft w:val="0"/>
      <w:marRight w:val="0"/>
      <w:marTop w:val="0"/>
      <w:marBottom w:val="0"/>
      <w:divBdr>
        <w:top w:val="none" w:sz="0" w:space="0" w:color="auto"/>
        <w:left w:val="none" w:sz="0" w:space="0" w:color="auto"/>
        <w:bottom w:val="none" w:sz="0" w:space="0" w:color="auto"/>
        <w:right w:val="none" w:sz="0" w:space="0" w:color="auto"/>
      </w:divBdr>
    </w:div>
    <w:div w:id="1336805261">
      <w:bodyDiv w:val="1"/>
      <w:marLeft w:val="0"/>
      <w:marRight w:val="0"/>
      <w:marTop w:val="0"/>
      <w:marBottom w:val="0"/>
      <w:divBdr>
        <w:top w:val="none" w:sz="0" w:space="0" w:color="auto"/>
        <w:left w:val="none" w:sz="0" w:space="0" w:color="auto"/>
        <w:bottom w:val="none" w:sz="0" w:space="0" w:color="auto"/>
        <w:right w:val="none" w:sz="0" w:space="0" w:color="auto"/>
      </w:divBdr>
    </w:div>
    <w:div w:id="1344548639">
      <w:bodyDiv w:val="1"/>
      <w:marLeft w:val="0"/>
      <w:marRight w:val="0"/>
      <w:marTop w:val="0"/>
      <w:marBottom w:val="0"/>
      <w:divBdr>
        <w:top w:val="none" w:sz="0" w:space="0" w:color="auto"/>
        <w:left w:val="none" w:sz="0" w:space="0" w:color="auto"/>
        <w:bottom w:val="none" w:sz="0" w:space="0" w:color="auto"/>
        <w:right w:val="none" w:sz="0" w:space="0" w:color="auto"/>
      </w:divBdr>
    </w:div>
    <w:div w:id="1395004535">
      <w:bodyDiv w:val="1"/>
      <w:marLeft w:val="0"/>
      <w:marRight w:val="0"/>
      <w:marTop w:val="0"/>
      <w:marBottom w:val="0"/>
      <w:divBdr>
        <w:top w:val="none" w:sz="0" w:space="0" w:color="auto"/>
        <w:left w:val="none" w:sz="0" w:space="0" w:color="auto"/>
        <w:bottom w:val="none" w:sz="0" w:space="0" w:color="auto"/>
        <w:right w:val="none" w:sz="0" w:space="0" w:color="auto"/>
      </w:divBdr>
    </w:div>
    <w:div w:id="1525945418">
      <w:bodyDiv w:val="1"/>
      <w:marLeft w:val="0"/>
      <w:marRight w:val="0"/>
      <w:marTop w:val="0"/>
      <w:marBottom w:val="0"/>
      <w:divBdr>
        <w:top w:val="none" w:sz="0" w:space="0" w:color="auto"/>
        <w:left w:val="none" w:sz="0" w:space="0" w:color="auto"/>
        <w:bottom w:val="none" w:sz="0" w:space="0" w:color="auto"/>
        <w:right w:val="none" w:sz="0" w:space="0" w:color="auto"/>
      </w:divBdr>
    </w:div>
    <w:div w:id="1530993365">
      <w:bodyDiv w:val="1"/>
      <w:marLeft w:val="0"/>
      <w:marRight w:val="0"/>
      <w:marTop w:val="0"/>
      <w:marBottom w:val="0"/>
      <w:divBdr>
        <w:top w:val="none" w:sz="0" w:space="0" w:color="auto"/>
        <w:left w:val="none" w:sz="0" w:space="0" w:color="auto"/>
        <w:bottom w:val="none" w:sz="0" w:space="0" w:color="auto"/>
        <w:right w:val="none" w:sz="0" w:space="0" w:color="auto"/>
      </w:divBdr>
    </w:div>
    <w:div w:id="1553468844">
      <w:bodyDiv w:val="1"/>
      <w:marLeft w:val="0"/>
      <w:marRight w:val="0"/>
      <w:marTop w:val="0"/>
      <w:marBottom w:val="0"/>
      <w:divBdr>
        <w:top w:val="none" w:sz="0" w:space="0" w:color="auto"/>
        <w:left w:val="none" w:sz="0" w:space="0" w:color="auto"/>
        <w:bottom w:val="none" w:sz="0" w:space="0" w:color="auto"/>
        <w:right w:val="none" w:sz="0" w:space="0" w:color="auto"/>
      </w:divBdr>
    </w:div>
    <w:div w:id="1723092563">
      <w:bodyDiv w:val="1"/>
      <w:marLeft w:val="0"/>
      <w:marRight w:val="0"/>
      <w:marTop w:val="0"/>
      <w:marBottom w:val="0"/>
      <w:divBdr>
        <w:top w:val="none" w:sz="0" w:space="0" w:color="auto"/>
        <w:left w:val="none" w:sz="0" w:space="0" w:color="auto"/>
        <w:bottom w:val="none" w:sz="0" w:space="0" w:color="auto"/>
        <w:right w:val="none" w:sz="0" w:space="0" w:color="auto"/>
      </w:divBdr>
    </w:div>
    <w:div w:id="1809975793">
      <w:bodyDiv w:val="1"/>
      <w:marLeft w:val="0"/>
      <w:marRight w:val="0"/>
      <w:marTop w:val="0"/>
      <w:marBottom w:val="0"/>
      <w:divBdr>
        <w:top w:val="none" w:sz="0" w:space="0" w:color="auto"/>
        <w:left w:val="none" w:sz="0" w:space="0" w:color="auto"/>
        <w:bottom w:val="none" w:sz="0" w:space="0" w:color="auto"/>
        <w:right w:val="none" w:sz="0" w:space="0" w:color="auto"/>
      </w:divBdr>
    </w:div>
    <w:div w:id="1855264344">
      <w:bodyDiv w:val="1"/>
      <w:marLeft w:val="0"/>
      <w:marRight w:val="0"/>
      <w:marTop w:val="0"/>
      <w:marBottom w:val="0"/>
      <w:divBdr>
        <w:top w:val="none" w:sz="0" w:space="0" w:color="auto"/>
        <w:left w:val="none" w:sz="0" w:space="0" w:color="auto"/>
        <w:bottom w:val="none" w:sz="0" w:space="0" w:color="auto"/>
        <w:right w:val="none" w:sz="0" w:space="0" w:color="auto"/>
      </w:divBdr>
    </w:div>
    <w:div w:id="1904634863">
      <w:bodyDiv w:val="1"/>
      <w:marLeft w:val="0"/>
      <w:marRight w:val="0"/>
      <w:marTop w:val="0"/>
      <w:marBottom w:val="0"/>
      <w:divBdr>
        <w:top w:val="none" w:sz="0" w:space="0" w:color="auto"/>
        <w:left w:val="none" w:sz="0" w:space="0" w:color="auto"/>
        <w:bottom w:val="none" w:sz="0" w:space="0" w:color="auto"/>
        <w:right w:val="none" w:sz="0" w:space="0" w:color="auto"/>
      </w:divBdr>
    </w:div>
    <w:div w:id="1924681564">
      <w:bodyDiv w:val="1"/>
      <w:marLeft w:val="0"/>
      <w:marRight w:val="0"/>
      <w:marTop w:val="0"/>
      <w:marBottom w:val="0"/>
      <w:divBdr>
        <w:top w:val="none" w:sz="0" w:space="0" w:color="auto"/>
        <w:left w:val="none" w:sz="0" w:space="0" w:color="auto"/>
        <w:bottom w:val="none" w:sz="0" w:space="0" w:color="auto"/>
        <w:right w:val="none" w:sz="0" w:space="0" w:color="auto"/>
      </w:divBdr>
    </w:div>
    <w:div w:id="204493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559EC493F32347B3C58C49265BAB37" ma:contentTypeVersion="10" ma:contentTypeDescription="Create a new document." ma:contentTypeScope="" ma:versionID="f2c1e89e5a71715b096c69a9182b0998">
  <xsd:schema xmlns:xsd="http://www.w3.org/2001/XMLSchema" xmlns:xs="http://www.w3.org/2001/XMLSchema" xmlns:p="http://schemas.microsoft.com/office/2006/metadata/properties" xmlns:ns2="ec09c70e-95bf-4cf9-af9c-acd08a6288ce" xmlns:ns3="41cd806b-5bd4-4185-afbd-31997901946b" targetNamespace="http://schemas.microsoft.com/office/2006/metadata/properties" ma:root="true" ma:fieldsID="8ff985534b85f86fe9bf68d12fe5508c" ns2:_="" ns3:_="">
    <xsd:import namespace="ec09c70e-95bf-4cf9-af9c-acd08a6288ce"/>
    <xsd:import namespace="41cd806b-5bd4-4185-afbd-3199790194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09c70e-95bf-4cf9-af9c-acd08a6288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cd806b-5bd4-4185-afbd-31997901946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EF308A-2A32-44E3-B8B2-748889C6A0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09c70e-95bf-4cf9-af9c-acd08a6288ce"/>
    <ds:schemaRef ds:uri="41cd806b-5bd4-4185-afbd-3199790194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91E7D5-BE8D-4F13-9110-76C901FFA6E3}">
  <ds:schemaRefs>
    <ds:schemaRef ds:uri="ec09c70e-95bf-4cf9-af9c-acd08a6288ce"/>
    <ds:schemaRef ds:uri="41cd806b-5bd4-4185-afbd-31997901946b"/>
    <ds:schemaRef ds:uri="http://purl.org/dc/elements/1.1/"/>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DDDCC9DB-FF99-4A25-9981-6E0D7299F8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12</Pages>
  <Words>2525</Words>
  <Characters>14398</Characters>
  <Application>Microsoft Office Word</Application>
  <DocSecurity>8</DocSecurity>
  <Lines>119</Lines>
  <Paragraphs>33</Paragraphs>
  <ScaleCrop>false</ScaleCrop>
  <Company/>
  <LinksUpToDate>false</LinksUpToDate>
  <CharactersWithSpaces>16890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O'Donohue, Claire</dc:creator>
  <cp:keywords/>
  <dc:description/>
  <cp:lastModifiedBy>Gibson, Rachael</cp:lastModifiedBy>
  <cp:revision>162</cp:revision>
  <dcterms:created xsi:type="dcterms:W3CDTF">2020-07-23T00:52:00Z</dcterms:created>
  <dcterms:modified xsi:type="dcterms:W3CDTF">2020-08-04T05:34:00Z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0x010100EB559EC493F32347B3C58C49265BAB37</vt:lpwstr>
  </property>
</Properties>
</file>